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E8E" w:rsidRPr="00C13E42" w:rsidRDefault="00C13E42" w:rsidP="00C13E42">
      <w:pPr>
        <w:pStyle w:val="ConsPlusTitle"/>
        <w:widowControl/>
        <w:tabs>
          <w:tab w:val="left" w:pos="0"/>
        </w:tabs>
        <w:ind w:left="6237"/>
        <w:outlineLvl w:val="0"/>
        <w:rPr>
          <w:rFonts w:ascii="Times New Roman" w:hAnsi="Times New Roman" w:cs="Times New Roman"/>
          <w:b w:val="0"/>
          <w:sz w:val="28"/>
          <w:szCs w:val="28"/>
        </w:rPr>
      </w:pPr>
      <w:bookmarkStart w:id="0" w:name="_GoBack"/>
      <w:bookmarkEnd w:id="0"/>
      <w:r w:rsidRPr="00C13E42">
        <w:rPr>
          <w:rFonts w:ascii="Times New Roman" w:hAnsi="Times New Roman" w:cs="Times New Roman"/>
          <w:b w:val="0"/>
          <w:sz w:val="28"/>
          <w:szCs w:val="28"/>
        </w:rPr>
        <w:t>ПРОЕКТ</w:t>
      </w:r>
    </w:p>
    <w:p w:rsidR="006B4E8E" w:rsidRDefault="006B4E8E" w:rsidP="00A5156B">
      <w:pPr>
        <w:pStyle w:val="ConsPlusTitle"/>
        <w:widowControl/>
        <w:tabs>
          <w:tab w:val="left" w:pos="284"/>
        </w:tabs>
        <w:jc w:val="center"/>
        <w:outlineLvl w:val="0"/>
        <w:rPr>
          <w:rFonts w:ascii="Times New Roman" w:hAnsi="Times New Roman" w:cs="Times New Roman"/>
          <w:sz w:val="28"/>
          <w:szCs w:val="28"/>
        </w:rPr>
      </w:pPr>
    </w:p>
    <w:p w:rsidR="00A5156B" w:rsidRPr="006B4E8E" w:rsidRDefault="00C13E42" w:rsidP="00A5156B">
      <w:pPr>
        <w:pStyle w:val="ConsPlusTitle"/>
        <w:widowControl/>
        <w:tabs>
          <w:tab w:val="left" w:pos="284"/>
        </w:tabs>
        <w:jc w:val="center"/>
        <w:outlineLvl w:val="0"/>
        <w:rPr>
          <w:rFonts w:ascii="Times New Roman" w:hAnsi="Times New Roman" w:cs="Times New Roman"/>
          <w:sz w:val="28"/>
          <w:szCs w:val="28"/>
        </w:rPr>
      </w:pPr>
      <w:r w:rsidRPr="006B4E8E">
        <w:rPr>
          <w:rFonts w:ascii="Times New Roman" w:hAnsi="Times New Roman" w:cs="Times New Roman"/>
          <w:sz w:val="28"/>
          <w:szCs w:val="28"/>
        </w:rPr>
        <w:t xml:space="preserve">ПОРЯДОК </w:t>
      </w:r>
    </w:p>
    <w:p w:rsidR="00A5156B" w:rsidRPr="006B4E8E" w:rsidRDefault="00C13E42" w:rsidP="00A5156B">
      <w:pPr>
        <w:pStyle w:val="ConsPlusTitle"/>
        <w:jc w:val="center"/>
        <w:rPr>
          <w:rFonts w:ascii="Times New Roman" w:hAnsi="Times New Roman" w:cs="Times New Roman"/>
          <w:sz w:val="28"/>
          <w:szCs w:val="28"/>
        </w:rPr>
      </w:pPr>
      <w:r w:rsidRPr="006B4E8E">
        <w:rPr>
          <w:rFonts w:ascii="Times New Roman" w:hAnsi="Times New Roman" w:cs="Times New Roman"/>
          <w:sz w:val="28"/>
          <w:szCs w:val="28"/>
        </w:rPr>
        <w:t xml:space="preserve">ПРЕДОСТАВЛЕНИЯ СУБСИДИИ НА СОДЕРЖАНИЕ АВТОМОБИЛЬНЫХ ДОРОГ ОБЩЕГО ПОЛЬЗОВАНИЯ МЕСТНОГО ЗНАЧЕНИЯ ГОРОДА ЯРОСЛАВЛЯ И ИСКУССТВЕННЫХ </w:t>
      </w:r>
    </w:p>
    <w:p w:rsidR="00A5156B" w:rsidRPr="006B4E8E" w:rsidRDefault="00C13E42" w:rsidP="00A5156B">
      <w:pPr>
        <w:pStyle w:val="ConsPlusTitle"/>
        <w:jc w:val="center"/>
        <w:rPr>
          <w:rFonts w:ascii="Times New Roman" w:hAnsi="Times New Roman" w:cs="Times New Roman"/>
          <w:sz w:val="28"/>
          <w:szCs w:val="28"/>
        </w:rPr>
      </w:pPr>
      <w:r w:rsidRPr="006B4E8E">
        <w:rPr>
          <w:rFonts w:ascii="Times New Roman" w:hAnsi="Times New Roman" w:cs="Times New Roman"/>
          <w:sz w:val="28"/>
          <w:szCs w:val="28"/>
        </w:rPr>
        <w:t xml:space="preserve">СООРУЖЕНИЙ НА НИХ </w:t>
      </w:r>
    </w:p>
    <w:p w:rsidR="00A5156B" w:rsidRPr="006B4E8E" w:rsidRDefault="00A5156B" w:rsidP="00A5156B">
      <w:pPr>
        <w:ind w:left="5103"/>
        <w:rPr>
          <w:szCs w:val="28"/>
        </w:rPr>
      </w:pPr>
    </w:p>
    <w:p w:rsidR="00A5156B" w:rsidRPr="006B4E8E" w:rsidRDefault="00A5156B" w:rsidP="00A5156B">
      <w:pPr>
        <w:pStyle w:val="ConsPlusNormal"/>
        <w:tabs>
          <w:tab w:val="left" w:pos="-4111"/>
        </w:tabs>
        <w:ind w:firstLine="709"/>
        <w:jc w:val="both"/>
        <w:rPr>
          <w:rFonts w:ascii="Times New Roman" w:hAnsi="Times New Roman" w:cs="Times New Roman"/>
          <w:sz w:val="28"/>
          <w:szCs w:val="28"/>
        </w:rPr>
      </w:pPr>
      <w:r w:rsidRPr="006B4E8E">
        <w:rPr>
          <w:rFonts w:ascii="Times New Roman" w:hAnsi="Times New Roman" w:cs="Times New Roman"/>
          <w:sz w:val="28"/>
          <w:szCs w:val="28"/>
        </w:rPr>
        <w:t>1. Порядок предоставления субсидии на содержание автомобильных дорог общего пользования местного значения города Ярославля и искусственных сооружений на них (далее − Порядок) устанавливает порядок и условия предоставления из областного бюджета бюджету города Ярославля субсидии на содержание автомобильных дорог общего пользования местного значения города Ярославля и искусственных сооружений на них (далее − субсидия).</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2. Главным распорядителем бюджетных средств в отношении субсидии является департамент дорожного хозяйства Ярославской области (далее − департамент).</w:t>
      </w:r>
    </w:p>
    <w:p w:rsidR="00A5156B" w:rsidRPr="006B4E8E" w:rsidRDefault="00A5156B" w:rsidP="00A5156B">
      <w:pPr>
        <w:ind w:firstLine="709"/>
        <w:jc w:val="both"/>
        <w:rPr>
          <w:szCs w:val="28"/>
        </w:rPr>
      </w:pPr>
      <w:r w:rsidRPr="006B4E8E">
        <w:rPr>
          <w:szCs w:val="28"/>
        </w:rPr>
        <w:t>3. Субсидия предоставляется в целях оказания финансовой поддержки исполнения расходных обязательств, возникающих при выполнении органом местного самоуправления города Ярославля – мэрией города Ярославля – полномочий по содержанию автомобильных дорог общего пользования местного значения и искусственных сооружений на них, в том числе выполняемых в рамках соглашений о порядке и условиях предоставления субсидии на финансовое обеспечение выполнения муниципальных заданий на оказание муниципальных услуг (выполнение работ).</w:t>
      </w:r>
    </w:p>
    <w:p w:rsidR="00A5156B" w:rsidRPr="006B4E8E" w:rsidRDefault="00A5156B" w:rsidP="00A5156B">
      <w:pPr>
        <w:ind w:firstLine="709"/>
        <w:jc w:val="both"/>
        <w:rPr>
          <w:szCs w:val="28"/>
        </w:rPr>
      </w:pPr>
      <w:r w:rsidRPr="006B4E8E">
        <w:rPr>
          <w:szCs w:val="28"/>
        </w:rPr>
        <w:t xml:space="preserve">Перечень работ по содержанию автомобильных дорог общего пользования местного значения и искусственных сооружений на них устанавливается в соответствии с </w:t>
      </w:r>
      <w:hyperlink r:id="rId7" w:history="1">
        <w:r w:rsidRPr="006B4E8E">
          <w:rPr>
            <w:szCs w:val="28"/>
          </w:rPr>
          <w:t>приказом</w:t>
        </w:r>
      </w:hyperlink>
      <w:r w:rsidRPr="006B4E8E">
        <w:rPr>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A5156B" w:rsidRPr="006B4E8E" w:rsidRDefault="00A5156B" w:rsidP="00A5156B">
      <w:pPr>
        <w:ind w:firstLine="709"/>
        <w:jc w:val="both"/>
        <w:rPr>
          <w:szCs w:val="28"/>
        </w:rPr>
      </w:pPr>
      <w:r w:rsidRPr="006B4E8E">
        <w:rPr>
          <w:szCs w:val="28"/>
        </w:rPr>
        <w:t xml:space="preserve">4. Расходы областного бюджета на предоставление субсидии осуществляются за счет бюджетных ассигнований дорожного фонда Ярославской области в рамках ведомственной целевой программы «Сохранность региональных автомобильных дорог Ярославской области» на 2021 – 2024 годы, являющейся подпрограммой государственной программы Ярославской области «Развитие дорожного хозяйства в Ярославской области» на 2021 – 2024 годы </w:t>
      </w:r>
      <w:r w:rsidRPr="006B4E8E">
        <w:rPr>
          <w:szCs w:val="28"/>
          <w:lang w:eastAsia="en-US"/>
        </w:rPr>
        <w:t>(далее – ведомственная целевая программа)</w:t>
      </w:r>
      <w:r w:rsidRPr="006B4E8E">
        <w:rPr>
          <w:szCs w:val="28"/>
        </w:rPr>
        <w:t>.</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5. Условия предоставления и расходования субсидии:</w:t>
      </w:r>
    </w:p>
    <w:p w:rsidR="00A5156B" w:rsidRPr="006B4E8E" w:rsidRDefault="00A5156B" w:rsidP="00A5156B">
      <w:pPr>
        <w:pStyle w:val="ConsPlusNormal"/>
        <w:ind w:firstLine="709"/>
        <w:jc w:val="both"/>
        <w:rPr>
          <w:rFonts w:ascii="Times New Roman" w:hAnsi="Times New Roman" w:cs="Times New Roman"/>
          <w:sz w:val="28"/>
          <w:szCs w:val="28"/>
          <w:lang w:eastAsia="en-US"/>
        </w:rPr>
      </w:pPr>
      <w:r w:rsidRPr="006B4E8E">
        <w:rPr>
          <w:rFonts w:ascii="Times New Roman" w:hAnsi="Times New Roman" w:cs="Times New Roman"/>
          <w:sz w:val="28"/>
          <w:szCs w:val="28"/>
          <w:lang w:eastAsia="en-US"/>
        </w:rPr>
        <w:t>- наличие муниципальной программы</w:t>
      </w:r>
      <w:r w:rsidRPr="006B4E8E">
        <w:rPr>
          <w:rFonts w:ascii="Times New Roman" w:hAnsi="Times New Roman" w:cs="Times New Roman"/>
          <w:sz w:val="28"/>
          <w:szCs w:val="28"/>
        </w:rPr>
        <w:t xml:space="preserve"> города Ярославля</w:t>
      </w:r>
      <w:r w:rsidRPr="006B4E8E">
        <w:rPr>
          <w:rFonts w:ascii="Times New Roman" w:hAnsi="Times New Roman" w:cs="Times New Roman"/>
          <w:sz w:val="28"/>
          <w:szCs w:val="28"/>
          <w:lang w:eastAsia="en-US"/>
        </w:rPr>
        <w:t xml:space="preserve">, на софинансирование мероприятий которой предоставляется субсидия, направленной на достижение целей ведомственной целевой программы, за исключением субсидии, предоставляемой бюджету города Ярославля на погашение кредиторской задолженности по обязательствам отчетных </w:t>
      </w:r>
      <w:r w:rsidRPr="006B4E8E">
        <w:rPr>
          <w:rFonts w:ascii="Times New Roman" w:hAnsi="Times New Roman" w:cs="Times New Roman"/>
          <w:sz w:val="28"/>
          <w:szCs w:val="28"/>
          <w:lang w:eastAsia="en-US"/>
        </w:rPr>
        <w:lastRenderedPageBreak/>
        <w:t xml:space="preserve">периодов, направляемой на осуществление мероприятий ведомственной целевой программы, срок реализации которых завершен в отчетных периодах; </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 наличие в бюджете города Ярославля (сводной бюджетной росписи местного бюджета) бюджетных ассигнований на исполнение расходных обязательств мэрии города Ярославля,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A5156B" w:rsidRPr="006B4E8E" w:rsidRDefault="00A5156B" w:rsidP="00A5156B">
      <w:pPr>
        <w:ind w:firstLine="709"/>
        <w:jc w:val="both"/>
        <w:rPr>
          <w:szCs w:val="28"/>
        </w:rPr>
      </w:pPr>
      <w:r w:rsidRPr="006B4E8E">
        <w:rPr>
          <w:szCs w:val="28"/>
        </w:rPr>
        <w:t xml:space="preserve">- заключение соглашения о предоставлении субсидии (далее </w:t>
      </w:r>
      <w:r w:rsidRPr="006B4E8E">
        <w:rPr>
          <w:spacing w:val="-4"/>
          <w:szCs w:val="28"/>
        </w:rPr>
        <w:t>–</w:t>
      </w:r>
      <w:r w:rsidRPr="006B4E8E">
        <w:rPr>
          <w:szCs w:val="28"/>
        </w:rPr>
        <w:t xml:space="preserve"> соглашение), предусматривающего обязательства мэрии города Ярославля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 </w:t>
      </w:r>
    </w:p>
    <w:p w:rsidR="00A5156B" w:rsidRPr="006B4E8E" w:rsidRDefault="00A5156B" w:rsidP="00A5156B">
      <w:pPr>
        <w:ind w:firstLine="709"/>
        <w:jc w:val="both"/>
        <w:rPr>
          <w:szCs w:val="28"/>
        </w:rPr>
      </w:pPr>
      <w:r w:rsidRPr="006B4E8E">
        <w:rPr>
          <w:szCs w:val="28"/>
        </w:rPr>
        <w:t>- возврат мэрией города Ярославля в доход областного бюджета средств, источником финансового обеспечения которых является субсидия, при невыполнении мэрией города Ярославля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 соблюдение целевых направлений расходования субсидии, указанных в пункте 3 Порядка;</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 централизация закупок товаров, работ, услуг в соответствии с постановлением Правительства области от 27.04.2016 № 501-п «Об особенностях осуществления закупок, финансируемых за счет бюджета Ярославской области».</w:t>
      </w:r>
    </w:p>
    <w:p w:rsidR="00A5156B" w:rsidRPr="006B4E8E" w:rsidRDefault="00A5156B" w:rsidP="00A5156B">
      <w:pPr>
        <w:ind w:firstLine="709"/>
        <w:jc w:val="both"/>
        <w:rPr>
          <w:szCs w:val="28"/>
        </w:rPr>
      </w:pPr>
      <w:r w:rsidRPr="006B4E8E">
        <w:rPr>
          <w:szCs w:val="28"/>
        </w:rPr>
        <w:t>6. Соглашение заключается между департаментом и мэрией города Ярославля в срок не позднее 01 апреля текущего финансового года.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рабочих дней после дня вступления в силу указанного закона.</w:t>
      </w:r>
    </w:p>
    <w:p w:rsidR="00A5156B" w:rsidRPr="006B4E8E" w:rsidRDefault="00A5156B" w:rsidP="00A5156B">
      <w:pPr>
        <w:ind w:firstLine="709"/>
        <w:jc w:val="both"/>
        <w:rPr>
          <w:szCs w:val="28"/>
        </w:rPr>
      </w:pPr>
      <w:r w:rsidRPr="006B4E8E">
        <w:rPr>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6B4E8E">
        <w:rPr>
          <w:spacing w:val="-4"/>
          <w:szCs w:val="28"/>
        </w:rPr>
        <w:t>–</w:t>
      </w:r>
      <w:r w:rsidRPr="006B4E8E">
        <w:rPr>
          <w:szCs w:val="28"/>
        </w:rPr>
        <w:t xml:space="preserve"> типовая форма соглашения). </w:t>
      </w:r>
    </w:p>
    <w:p w:rsidR="00A5156B" w:rsidRPr="006B4E8E" w:rsidRDefault="00A5156B" w:rsidP="00A5156B">
      <w:pPr>
        <w:ind w:firstLine="709"/>
        <w:jc w:val="both"/>
        <w:rPr>
          <w:szCs w:val="28"/>
        </w:rPr>
      </w:pPr>
      <w:r w:rsidRPr="006B4E8E">
        <w:rPr>
          <w:szCs w:val="28"/>
        </w:rPr>
        <w:t xml:space="preserve">При выделении мэрии города Ярославля в составе субсидии на текущий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 </w:t>
      </w:r>
    </w:p>
    <w:p w:rsidR="00A5156B" w:rsidRPr="006B4E8E" w:rsidRDefault="00A5156B" w:rsidP="00A5156B">
      <w:pPr>
        <w:ind w:firstLine="709"/>
        <w:jc w:val="both"/>
        <w:rPr>
          <w:szCs w:val="28"/>
        </w:rPr>
      </w:pPr>
      <w:r w:rsidRPr="006B4E8E">
        <w:rPr>
          <w:szCs w:val="28"/>
        </w:rPr>
        <w:lastRenderedPageBreak/>
        <w:t>При невыделении мэрии города Ярославля в составе субсидии на текущий год средств на погашение кредиторской задолженности погашение кредиторской задолженности осуществляется за счет и в пределах субсидии, предоставленной мэрии города Ярославля на текущий год (без обеспечения доли софинансирования местного бюджета при условии подтверждения произведенной оплаты в предыдущем финансовом году).</w:t>
      </w:r>
    </w:p>
    <w:p w:rsidR="00A5156B" w:rsidRPr="006B4E8E" w:rsidRDefault="00A5156B" w:rsidP="00A5156B">
      <w:pPr>
        <w:tabs>
          <w:tab w:val="left" w:pos="709"/>
        </w:tabs>
        <w:ind w:firstLine="709"/>
        <w:jc w:val="both"/>
        <w:rPr>
          <w:szCs w:val="28"/>
        </w:rPr>
      </w:pPr>
      <w:r w:rsidRPr="006B4E8E">
        <w:rPr>
          <w:szCs w:val="28"/>
        </w:rPr>
        <w:t>7. Для заключения соглашения в департамент представляются следующие документы:</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 копия утвержденной муниципальной программы города Ярославля, на софинансирование мероприятий которой предоставляется субсидия;</w:t>
      </w:r>
    </w:p>
    <w:p w:rsidR="00A5156B" w:rsidRPr="006B4E8E" w:rsidRDefault="00A5156B" w:rsidP="00A5156B">
      <w:pPr>
        <w:ind w:firstLine="709"/>
        <w:jc w:val="both"/>
        <w:rPr>
          <w:szCs w:val="28"/>
        </w:rPr>
      </w:pPr>
      <w:r w:rsidRPr="006B4E8E">
        <w:rPr>
          <w:szCs w:val="28"/>
        </w:rPr>
        <w:t xml:space="preserve">- выписка из решения о местном бюджете (сводной бюджетной росписи) города Ярославля, подтверждающая наличие ассигнований за счет средств местного бюджета на исполнение соответствующего расходного обязательства мэрии города Ярославля в объеме, необходимом для его исполнения, в рамках соответствующей муниципальной программы;  </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lang w:eastAsia="en-US"/>
        </w:rPr>
      </w:pPr>
      <w:r w:rsidRPr="006B4E8E">
        <w:rPr>
          <w:rFonts w:ascii="Times New Roman" w:hAnsi="Times New Roman" w:cs="Times New Roman"/>
          <w:sz w:val="28"/>
          <w:szCs w:val="28"/>
        </w:rPr>
        <w:t xml:space="preserve">- копии муниципальных контрактов (договоров) на выполнение работ, финансирование которых осуществляется с привлечением субсидии (далее </w:t>
      </w:r>
      <w:r w:rsidRPr="006B4E8E">
        <w:rPr>
          <w:rFonts w:ascii="Times New Roman" w:hAnsi="Times New Roman" w:cs="Times New Roman"/>
          <w:sz w:val="28"/>
          <w:szCs w:val="28"/>
          <w:lang w:eastAsia="en-US"/>
        </w:rPr>
        <w:t>– муниципальные контракты (договоры))</w:t>
      </w:r>
      <w:r w:rsidRPr="006B4E8E">
        <w:rPr>
          <w:rFonts w:ascii="Times New Roman" w:hAnsi="Times New Roman" w:cs="Times New Roman"/>
          <w:sz w:val="28"/>
          <w:szCs w:val="28"/>
        </w:rPr>
        <w:t>, – при наличии на момент заключения соглашения результатов проведения торгов на выполнение работ</w:t>
      </w:r>
      <w:r w:rsidRPr="006B4E8E">
        <w:rPr>
          <w:rFonts w:ascii="Times New Roman" w:hAnsi="Times New Roman" w:cs="Times New Roman"/>
          <w:sz w:val="28"/>
          <w:szCs w:val="28"/>
          <w:lang w:eastAsia="en-US"/>
        </w:rPr>
        <w:t>;</w:t>
      </w:r>
    </w:p>
    <w:p w:rsidR="00A5156B" w:rsidRPr="006B4E8E" w:rsidRDefault="00A5156B" w:rsidP="00A5156B">
      <w:pPr>
        <w:ind w:firstLine="709"/>
        <w:jc w:val="both"/>
        <w:rPr>
          <w:szCs w:val="28"/>
        </w:rPr>
      </w:pPr>
      <w:r w:rsidRPr="006B4E8E">
        <w:rPr>
          <w:szCs w:val="28"/>
        </w:rPr>
        <w:t>- копии соглашений о порядке и условиях предоставления субсидии на финансовое обеспечение выполнения муниципальных заданий на оказание муниципальных услуг (выполнение работ) (далее – соглашения о выполнении муниципальных заданий);</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lang w:eastAsia="en-US"/>
        </w:rPr>
        <w:t>- копии утвержденных муниципальных заданий на оказание муниципальных услуг (выполнение работ).</w:t>
      </w:r>
    </w:p>
    <w:p w:rsidR="00A5156B" w:rsidRPr="006B4E8E" w:rsidRDefault="00A5156B" w:rsidP="00A5156B">
      <w:pPr>
        <w:ind w:firstLine="709"/>
        <w:jc w:val="both"/>
        <w:rPr>
          <w:szCs w:val="28"/>
        </w:rPr>
      </w:pPr>
      <w:r w:rsidRPr="006B4E8E">
        <w:rPr>
          <w:szCs w:val="28"/>
        </w:rPr>
        <w:t>8. В случае если субсидия предусматривает финансирование нескольких муниципальных контрактов (договоров), соглашений о выполнении муниципальных заданий, соглашение заключается только в части тех муниципальных контрактов (договоров), соглашений о выполнении муниципальных заданий,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A5156B" w:rsidRPr="006B4E8E" w:rsidRDefault="00A5156B" w:rsidP="00A5156B">
      <w:pPr>
        <w:ind w:firstLine="709"/>
        <w:jc w:val="both"/>
        <w:rPr>
          <w:szCs w:val="28"/>
        </w:rPr>
      </w:pPr>
      <w:r w:rsidRPr="006B4E8E">
        <w:rPr>
          <w:szCs w:val="28"/>
        </w:rPr>
        <w:t>9. Результатами использования субсидии, значения которых устанавливаются соглашением, являются:</w:t>
      </w:r>
    </w:p>
    <w:p w:rsidR="00A5156B" w:rsidRPr="006B4E8E" w:rsidRDefault="00A5156B" w:rsidP="00A5156B">
      <w:pPr>
        <w:ind w:firstLine="709"/>
        <w:jc w:val="both"/>
        <w:rPr>
          <w:szCs w:val="28"/>
        </w:rPr>
      </w:pPr>
      <w:r w:rsidRPr="006B4E8E">
        <w:rPr>
          <w:szCs w:val="28"/>
        </w:rPr>
        <w:t xml:space="preserve">- площадь автомобильных дорог общего пользования местного значения, в отношении которых осуществлялись работы по содержанию (квадратных метров); </w:t>
      </w:r>
    </w:p>
    <w:p w:rsidR="00A5156B" w:rsidRPr="006B4E8E" w:rsidRDefault="00A5156B" w:rsidP="00A5156B">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6B4E8E">
        <w:rPr>
          <w:rFonts w:ascii="Times New Roman" w:hAnsi="Times New Roman" w:cs="Times New Roman"/>
          <w:sz w:val="28"/>
          <w:szCs w:val="28"/>
          <w:lang w:eastAsia="en-US"/>
        </w:rPr>
        <w:t xml:space="preserve">- протяженность искусственных сооружений на автомобильных дорогах общего пользования местного значения, в отношении которых осуществлялись работы по содержанию (погонных метров). </w:t>
      </w:r>
    </w:p>
    <w:p w:rsidR="00A5156B" w:rsidRPr="006B4E8E" w:rsidRDefault="00A5156B" w:rsidP="00A5156B">
      <w:pPr>
        <w:ind w:firstLine="709"/>
        <w:jc w:val="both"/>
        <w:rPr>
          <w:szCs w:val="28"/>
        </w:rPr>
      </w:pPr>
      <w:r w:rsidRPr="006B4E8E">
        <w:rPr>
          <w:szCs w:val="28"/>
        </w:rPr>
        <w:t>10.</w:t>
      </w:r>
      <w:r w:rsidRPr="006B4E8E">
        <w:rPr>
          <w:color w:val="FF0000"/>
          <w:szCs w:val="28"/>
        </w:rPr>
        <w:t xml:space="preserve"> </w:t>
      </w:r>
      <w:r w:rsidRPr="006B4E8E">
        <w:rPr>
          <w:szCs w:val="28"/>
        </w:rPr>
        <w:t xml:space="preserve">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w:t>
      </w:r>
      <w:r w:rsidRPr="006B4E8E">
        <w:rPr>
          <w:szCs w:val="28"/>
        </w:rPr>
        <w:lastRenderedPageBreak/>
        <w:t>в течение всего периода действия соглашения, за исключением следующих случаев:</w:t>
      </w:r>
    </w:p>
    <w:p w:rsidR="00A5156B" w:rsidRPr="006B4E8E" w:rsidRDefault="00A5156B" w:rsidP="00A5156B">
      <w:pPr>
        <w:ind w:firstLine="709"/>
        <w:jc w:val="both"/>
        <w:rPr>
          <w:szCs w:val="28"/>
        </w:rPr>
      </w:pPr>
      <w:r w:rsidRPr="006B4E8E">
        <w:rPr>
          <w:szCs w:val="28"/>
        </w:rPr>
        <w:t>- если выполнение условий предоставления субсидии оказалось невозможным вследствие обстоятельств непреодолимой силы;</w:t>
      </w:r>
    </w:p>
    <w:p w:rsidR="00A5156B" w:rsidRPr="006B4E8E" w:rsidRDefault="00A5156B" w:rsidP="00A5156B">
      <w:pPr>
        <w:ind w:firstLine="709"/>
        <w:jc w:val="both"/>
        <w:rPr>
          <w:szCs w:val="28"/>
        </w:rPr>
      </w:pPr>
      <w:r w:rsidRPr="006B4E8E">
        <w:rPr>
          <w:szCs w:val="28"/>
        </w:rPr>
        <w:t xml:space="preserve">- в случае изменения значений целевых показателей и индикаторов </w:t>
      </w:r>
      <w:r w:rsidRPr="006B4E8E">
        <w:rPr>
          <w:szCs w:val="28"/>
          <w:lang w:eastAsia="en-US"/>
        </w:rPr>
        <w:t>ведомственной целевой программы</w:t>
      </w:r>
      <w:r w:rsidRPr="006B4E8E">
        <w:rPr>
          <w:szCs w:val="28"/>
        </w:rPr>
        <w:t>;</w:t>
      </w:r>
    </w:p>
    <w:p w:rsidR="00A5156B" w:rsidRPr="006B4E8E" w:rsidRDefault="00A5156B" w:rsidP="00A5156B">
      <w:pPr>
        <w:ind w:firstLine="709"/>
        <w:jc w:val="both"/>
        <w:rPr>
          <w:szCs w:val="28"/>
        </w:rPr>
      </w:pPr>
      <w:r w:rsidRPr="006B4E8E">
        <w:rPr>
          <w:szCs w:val="28"/>
        </w:rPr>
        <w:t>- в случае существенного (более чем на 20 процентов) сокращения размера субсидии.</w:t>
      </w:r>
    </w:p>
    <w:p w:rsidR="00A5156B" w:rsidRPr="006B4E8E" w:rsidRDefault="00A5156B" w:rsidP="00A5156B">
      <w:pPr>
        <w:pStyle w:val="ConsPlusNormal"/>
        <w:ind w:firstLine="709"/>
        <w:jc w:val="both"/>
        <w:rPr>
          <w:rFonts w:ascii="Times New Roman" w:hAnsi="Times New Roman" w:cs="Times New Roman"/>
          <w:sz w:val="28"/>
          <w:szCs w:val="28"/>
          <w:lang w:eastAsia="en-US"/>
        </w:rPr>
      </w:pPr>
      <w:r w:rsidRPr="006B4E8E">
        <w:rPr>
          <w:rFonts w:ascii="Times New Roman" w:hAnsi="Times New Roman" w:cs="Times New Roman"/>
          <w:sz w:val="28"/>
          <w:szCs w:val="28"/>
        </w:rPr>
        <w:t>11. </w:t>
      </w:r>
      <w:r w:rsidRPr="006B4E8E">
        <w:rPr>
          <w:rFonts w:ascii="Times New Roman" w:hAnsi="Times New Roman" w:cs="Times New Roman"/>
          <w:sz w:val="28"/>
          <w:szCs w:val="28"/>
          <w:lang w:eastAsia="en-US"/>
        </w:rPr>
        <w:t>Уровень софинансирования расходного обязательства мэрии города Ярослав</w:t>
      </w:r>
      <w:r w:rsidR="00AA7F5A" w:rsidRPr="006B4E8E">
        <w:rPr>
          <w:rFonts w:ascii="Times New Roman" w:hAnsi="Times New Roman" w:cs="Times New Roman"/>
          <w:sz w:val="28"/>
          <w:szCs w:val="28"/>
          <w:lang w:eastAsia="en-US"/>
        </w:rPr>
        <w:t>ля на 2022 год и на плановый период 2023 и 2024</w:t>
      </w:r>
      <w:r w:rsidRPr="006B4E8E">
        <w:rPr>
          <w:rFonts w:ascii="Times New Roman" w:hAnsi="Times New Roman" w:cs="Times New Roman"/>
          <w:sz w:val="28"/>
          <w:szCs w:val="28"/>
          <w:lang w:eastAsia="en-US"/>
        </w:rPr>
        <w:t xml:space="preserve">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постановлением Правительства области от 22.10.2020  № </w:t>
      </w:r>
      <w:r w:rsidRPr="006B4E8E">
        <w:rPr>
          <w:rFonts w:ascii="Times New Roman" w:hAnsi="Times New Roman" w:cs="Times New Roman"/>
          <w:iCs/>
          <w:sz w:val="28"/>
          <w:szCs w:val="28"/>
          <w:lang w:eastAsia="en-US"/>
        </w:rPr>
        <w:t>824</w:t>
      </w:r>
      <w:r w:rsidRPr="006B4E8E">
        <w:rPr>
          <w:rFonts w:ascii="Times New Roman" w:hAnsi="Times New Roman" w:cs="Times New Roman"/>
          <w:sz w:val="28"/>
          <w:szCs w:val="28"/>
          <w:lang w:eastAsia="en-US"/>
        </w:rPr>
        <w:t>-</w:t>
      </w:r>
      <w:r w:rsidRPr="006B4E8E">
        <w:rPr>
          <w:rFonts w:ascii="Times New Roman" w:hAnsi="Times New Roman" w:cs="Times New Roman"/>
          <w:iCs/>
          <w:sz w:val="28"/>
          <w:szCs w:val="28"/>
          <w:lang w:eastAsia="en-US"/>
        </w:rPr>
        <w:t>п</w:t>
      </w:r>
      <w:r w:rsidRPr="006B4E8E">
        <w:rPr>
          <w:rFonts w:ascii="Times New Roman" w:hAnsi="Times New Roman" w:cs="Times New Roman"/>
          <w:sz w:val="28"/>
          <w:szCs w:val="28"/>
          <w:lang w:eastAsia="en-US"/>
        </w:rPr>
        <w:t xml:space="preserve"> «О предельном уровне софинансирования объема расходного обязательства муниципального образования из областного бюджета». </w:t>
      </w:r>
    </w:p>
    <w:p w:rsidR="00A5156B" w:rsidRPr="006B4E8E" w:rsidRDefault="00A5156B" w:rsidP="00A5156B">
      <w:pPr>
        <w:ind w:firstLine="709"/>
        <w:jc w:val="both"/>
        <w:rPr>
          <w:szCs w:val="28"/>
        </w:rPr>
      </w:pPr>
      <w:r w:rsidRPr="006B4E8E">
        <w:rPr>
          <w:szCs w:val="28"/>
        </w:rPr>
        <w:t>12. Перечисление субсидий осуществляется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A5156B" w:rsidRPr="006B4E8E" w:rsidRDefault="00A5156B" w:rsidP="00A5156B">
      <w:pPr>
        <w:ind w:firstLine="709"/>
        <w:jc w:val="both"/>
        <w:rPr>
          <w:szCs w:val="28"/>
        </w:rPr>
      </w:pPr>
      <w:r w:rsidRPr="006B4E8E">
        <w:rPr>
          <w:szCs w:val="28"/>
        </w:rPr>
        <w:t>Перечисление субсидий осуществляется в пределах кассового плана областного бюджета, утвержденного на соответствующий квартал.</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lang w:eastAsia="en-US"/>
        </w:rPr>
        <w:t xml:space="preserve">13. </w:t>
      </w:r>
      <w:r w:rsidRPr="006B4E8E">
        <w:rPr>
          <w:rFonts w:ascii="Times New Roman" w:hAnsi="Times New Roman" w:cs="Times New Roman"/>
          <w:sz w:val="28"/>
          <w:szCs w:val="28"/>
        </w:rPr>
        <w:t>Для перечисления субсидии в департамент в срок до 20 декабря текущего финансового года представляются:</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 заявка на перечисление субсидии, оформленная в произвольной форме;</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 копии платежных документов, подтверждающих перечисление доли софинансирования расходного обязательства мэрии города Ярославля из местного бюджета.</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 xml:space="preserve">Департамент в день представления документов, указанных в абзацах втором – четвертом данного пункта, регистрирует их, в течение 5 рабочих дней с даты регистрации указанных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департамент в течение 7 рабочих дней с даты регистрации документов принимает решение об их возврате и направляет соответствующее уведомление в адрес мэрии города Ярославля с указанием выявленных несоответствий. </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 xml:space="preserve">Мэрия города Ярославля в течение 5 рабочих дней с даты получения соответствующего уведомления, но не позднее 20 декабря текущего финансового года устраняет выявленные департаментом несоответствия в </w:t>
      </w:r>
      <w:r w:rsidRPr="006B4E8E">
        <w:rPr>
          <w:rFonts w:ascii="Times New Roman" w:hAnsi="Times New Roman" w:cs="Times New Roman"/>
          <w:sz w:val="28"/>
          <w:szCs w:val="28"/>
        </w:rPr>
        <w:lastRenderedPageBreak/>
        <w:t>документах, указанных в абзацах втором – четвертом данного пункта, и представляет их в департамент для повторного рассмотрения в порядке, указанном в абзаце пятом данного пункта.</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Финансирование за счет субсидии муниципальных контрактов (договоров), соглашений о выполнении муниципальных заданий, не включенных в соглашение, не допускается.</w:t>
      </w:r>
    </w:p>
    <w:p w:rsidR="00A5156B" w:rsidRPr="006B4E8E" w:rsidRDefault="00A5156B" w:rsidP="00A5156B">
      <w:pPr>
        <w:ind w:firstLine="709"/>
        <w:jc w:val="both"/>
        <w:rPr>
          <w:spacing w:val="-4"/>
          <w:szCs w:val="28"/>
        </w:rPr>
      </w:pPr>
      <w:r w:rsidRPr="006B4E8E">
        <w:rPr>
          <w:szCs w:val="28"/>
        </w:rPr>
        <w:t xml:space="preserve">14. </w:t>
      </w:r>
      <w:r w:rsidRPr="006B4E8E">
        <w:rPr>
          <w:spacing w:val="-4"/>
          <w:szCs w:val="28"/>
        </w:rPr>
        <w:t>Мэрия города Ярославля представляет в департамент:</w:t>
      </w:r>
    </w:p>
    <w:p w:rsidR="00A5156B" w:rsidRPr="006B4E8E" w:rsidRDefault="00A5156B" w:rsidP="00A5156B">
      <w:pPr>
        <w:ind w:firstLine="709"/>
        <w:jc w:val="both"/>
        <w:rPr>
          <w:spacing w:val="-4"/>
          <w:szCs w:val="28"/>
        </w:rPr>
      </w:pPr>
      <w:r w:rsidRPr="006B4E8E">
        <w:rPr>
          <w:spacing w:val="-4"/>
          <w:szCs w:val="28"/>
        </w:rPr>
        <w:t xml:space="preserve">- отчет о расходах, в целях софинансирования которых предоставляется субсидия, по форме согласно приложению 5 к типовой форме </w:t>
      </w:r>
      <w:r w:rsidRPr="006B4E8E">
        <w:rPr>
          <w:szCs w:val="28"/>
        </w:rPr>
        <w:t>соглашения</w:t>
      </w:r>
      <w:r w:rsidRPr="006B4E8E">
        <w:rPr>
          <w:spacing w:val="-4"/>
          <w:szCs w:val="28"/>
        </w:rPr>
        <w:t xml:space="preserve"> – не позднее 10 числа месяца, следующего за кварталом, в котором была получена субсидия;</w:t>
      </w:r>
    </w:p>
    <w:p w:rsidR="00A5156B" w:rsidRPr="006B4E8E" w:rsidRDefault="00A5156B" w:rsidP="00A5156B">
      <w:pPr>
        <w:ind w:firstLine="709"/>
        <w:jc w:val="both"/>
        <w:rPr>
          <w:szCs w:val="28"/>
        </w:rPr>
      </w:pPr>
      <w:r w:rsidRPr="006B4E8E">
        <w:rPr>
          <w:spacing w:val="-4"/>
          <w:szCs w:val="28"/>
        </w:rPr>
        <w:t xml:space="preserve">- отчет о достижении значений результатов использования субсидии по состоянию на 31 декабря отчетного финансового года, в котором была получена субсидия, по форме согласно приложению 6 к типовой форме </w:t>
      </w:r>
      <w:r w:rsidRPr="006B4E8E">
        <w:rPr>
          <w:szCs w:val="28"/>
        </w:rPr>
        <w:t>соглашения </w:t>
      </w:r>
      <w:r w:rsidRPr="006B4E8E">
        <w:rPr>
          <w:spacing w:val="-4"/>
          <w:szCs w:val="28"/>
        </w:rPr>
        <w:t>– не позднее 15 января года, следующего за отчетным финансовым годом.</w:t>
      </w:r>
    </w:p>
    <w:p w:rsidR="00A5156B" w:rsidRPr="006B4E8E" w:rsidRDefault="00A5156B" w:rsidP="00A5156B">
      <w:pPr>
        <w:ind w:firstLine="709"/>
        <w:jc w:val="both"/>
        <w:rPr>
          <w:szCs w:val="28"/>
        </w:rPr>
      </w:pPr>
      <w:r w:rsidRPr="006B4E8E">
        <w:rPr>
          <w:szCs w:val="28"/>
        </w:rPr>
        <w:t>15. В случае образования экономии субсидии в результате проведения закупок товаров (работ, услуг) для муниципальных нужд указанные средства в областной бюджет не возвращаются и используются муниципальным образованием области по целевому назначению в соответствии с перечнем объектов, предусмотренным соглашением.</w:t>
      </w:r>
    </w:p>
    <w:p w:rsidR="00A5156B" w:rsidRPr="006B4E8E" w:rsidRDefault="00A5156B" w:rsidP="00A5156B">
      <w:pPr>
        <w:pStyle w:val="ConsPlusNormal"/>
        <w:ind w:firstLine="709"/>
        <w:jc w:val="both"/>
        <w:rPr>
          <w:rFonts w:ascii="Times New Roman" w:hAnsi="Times New Roman" w:cs="Times New Roman"/>
          <w:sz w:val="28"/>
          <w:szCs w:val="28"/>
          <w:lang w:eastAsia="en-US"/>
        </w:rPr>
      </w:pPr>
      <w:r w:rsidRPr="006B4E8E">
        <w:rPr>
          <w:rFonts w:ascii="Times New Roman" w:hAnsi="Times New Roman" w:cs="Times New Roman"/>
          <w:sz w:val="28"/>
          <w:szCs w:val="28"/>
          <w:lang w:eastAsia="en-US"/>
        </w:rPr>
        <w:t xml:space="preserve">16. </w:t>
      </w:r>
      <w:r w:rsidRPr="006B4E8E">
        <w:rPr>
          <w:rFonts w:ascii="Times New Roman" w:hAnsi="Times New Roman" w:cs="Times New Roman"/>
          <w:sz w:val="28"/>
          <w:szCs w:val="28"/>
        </w:rPr>
        <w:t>В случае уменьшения в бюджете города Ярославля общего объема бюджетных ассигнований на финансовое обеспечение расходных обязательств мэрии города Ярославля,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В случае увеличения в бюджете города Ярославля в текущем финансовом году общего объема бюджетных ассигнований на финансовое обеспечение расходных обязательств мэрии города Ярославля, в целях софинансирования которых предоставляется субсидия, размер субсидии не подлежит изменению.</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 xml:space="preserve">17. Оценка результативности и эффективности использования субсидии осуществляется департаментом и мэрией города Ярославля на основании комплексного показателя эффективности использования субсидии, рассчитанного в соответствии с </w:t>
      </w:r>
      <w:hyperlink w:anchor="P591" w:history="1">
        <w:r w:rsidRPr="006B4E8E">
          <w:rPr>
            <w:rFonts w:ascii="Times New Roman" w:hAnsi="Times New Roman" w:cs="Times New Roman"/>
            <w:sz w:val="28"/>
            <w:szCs w:val="28"/>
          </w:rPr>
          <w:t>Порядком</w:t>
        </w:r>
      </w:hyperlink>
      <w:r w:rsidRPr="006B4E8E">
        <w:rPr>
          <w:rFonts w:ascii="Times New Roman" w:hAnsi="Times New Roman" w:cs="Times New Roman"/>
          <w:sz w:val="28"/>
          <w:szCs w:val="28"/>
        </w:rPr>
        <w:t xml:space="preserve"> оценки результативности и эффективности использования субсидии, приведенным в приложении к Порядку.</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 xml:space="preserve">18. В случае если мэрией города Ярославля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мэрия города Ярославля в срок до 01 апреля года, следующего за годом предоставления субсидии, должна вернуть в доход областного </w:t>
      </w:r>
      <w:r w:rsidRPr="006B4E8E">
        <w:rPr>
          <w:rFonts w:ascii="Times New Roman" w:hAnsi="Times New Roman" w:cs="Times New Roman"/>
          <w:sz w:val="28"/>
          <w:szCs w:val="28"/>
        </w:rPr>
        <w:lastRenderedPageBreak/>
        <w:t>бюджета средства в объеме (V</w:t>
      </w:r>
      <w:r w:rsidRPr="006B4E8E">
        <w:rPr>
          <w:rFonts w:ascii="Times New Roman" w:hAnsi="Times New Roman" w:cs="Times New Roman"/>
          <w:sz w:val="28"/>
          <w:szCs w:val="28"/>
          <w:vertAlign w:val="subscript"/>
        </w:rPr>
        <w:t>возврата</w:t>
      </w:r>
      <w:r w:rsidRPr="006B4E8E">
        <w:rPr>
          <w:rFonts w:ascii="Times New Roman" w:hAnsi="Times New Roman" w:cs="Times New Roman"/>
          <w:sz w:val="28"/>
          <w:szCs w:val="28"/>
        </w:rPr>
        <w:t>), определяемом по формуле:</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p>
    <w:p w:rsidR="00A5156B" w:rsidRPr="006B4E8E" w:rsidRDefault="00A5156B" w:rsidP="00A5156B">
      <w:pPr>
        <w:pStyle w:val="ConsPlusNormal"/>
        <w:tabs>
          <w:tab w:val="left" w:pos="709"/>
        </w:tabs>
        <w:jc w:val="center"/>
        <w:rPr>
          <w:rFonts w:ascii="Times New Roman" w:hAnsi="Times New Roman" w:cs="Times New Roman"/>
          <w:sz w:val="28"/>
          <w:szCs w:val="28"/>
        </w:rPr>
      </w:pPr>
      <w:r w:rsidRPr="006B4E8E">
        <w:rPr>
          <w:rFonts w:ascii="Times New Roman" w:hAnsi="Times New Roman" w:cs="Times New Roman"/>
          <w:sz w:val="28"/>
          <w:szCs w:val="28"/>
        </w:rPr>
        <w:t>V</w:t>
      </w:r>
      <w:r w:rsidRPr="006B4E8E">
        <w:rPr>
          <w:rFonts w:ascii="Times New Roman" w:hAnsi="Times New Roman" w:cs="Times New Roman"/>
          <w:sz w:val="28"/>
          <w:szCs w:val="28"/>
          <w:vertAlign w:val="subscript"/>
        </w:rPr>
        <w:t>возврата</w:t>
      </w:r>
      <w:r w:rsidRPr="006B4E8E">
        <w:rPr>
          <w:rFonts w:ascii="Times New Roman" w:hAnsi="Times New Roman" w:cs="Times New Roman"/>
          <w:sz w:val="28"/>
          <w:szCs w:val="28"/>
        </w:rPr>
        <w:t xml:space="preserve"> = (V</w:t>
      </w:r>
      <w:r w:rsidRPr="006B4E8E">
        <w:rPr>
          <w:rFonts w:ascii="Times New Roman" w:hAnsi="Times New Roman" w:cs="Times New Roman"/>
          <w:sz w:val="28"/>
          <w:szCs w:val="28"/>
          <w:vertAlign w:val="subscript"/>
        </w:rPr>
        <w:t>субсидии</w:t>
      </w:r>
      <w:r w:rsidRPr="006B4E8E">
        <w:rPr>
          <w:rFonts w:ascii="Times New Roman" w:hAnsi="Times New Roman" w:cs="Times New Roman"/>
          <w:sz w:val="28"/>
          <w:szCs w:val="28"/>
        </w:rPr>
        <w:t xml:space="preserve"> × k × m / n) × 0,1,</w:t>
      </w:r>
    </w:p>
    <w:p w:rsidR="00A5156B" w:rsidRPr="006B4E8E" w:rsidRDefault="00A5156B" w:rsidP="00A5156B">
      <w:pPr>
        <w:pStyle w:val="ConsPlusNormal"/>
        <w:tabs>
          <w:tab w:val="left" w:pos="709"/>
        </w:tabs>
        <w:jc w:val="both"/>
        <w:rPr>
          <w:rFonts w:ascii="Times New Roman" w:hAnsi="Times New Roman" w:cs="Times New Roman"/>
          <w:sz w:val="28"/>
          <w:szCs w:val="28"/>
        </w:rPr>
      </w:pPr>
      <w:r w:rsidRPr="006B4E8E">
        <w:rPr>
          <w:rFonts w:ascii="Times New Roman" w:hAnsi="Times New Roman" w:cs="Times New Roman"/>
          <w:sz w:val="28"/>
          <w:szCs w:val="28"/>
        </w:rPr>
        <w:t>где:</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V</w:t>
      </w:r>
      <w:r w:rsidRPr="006B4E8E">
        <w:rPr>
          <w:rFonts w:ascii="Times New Roman" w:hAnsi="Times New Roman" w:cs="Times New Roman"/>
          <w:sz w:val="28"/>
          <w:szCs w:val="28"/>
          <w:vertAlign w:val="subscript"/>
        </w:rPr>
        <w:t>субсидии</w:t>
      </w:r>
      <w:r w:rsidRPr="006B4E8E">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департаментом;</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k – коэффициент возврата субсидии;</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n – общее количество результатов использования субсидии;</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0,1 – понижающий коэффициент суммы возврата субсидии.</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Коэффициент возврата субсидии (k) рассчитывается по формуле:</w:t>
      </w:r>
    </w:p>
    <w:p w:rsidR="00A5156B" w:rsidRPr="006B4E8E" w:rsidRDefault="00A5156B" w:rsidP="00A5156B">
      <w:pPr>
        <w:pStyle w:val="ConsPlusNormal"/>
        <w:tabs>
          <w:tab w:val="left" w:pos="709"/>
        </w:tabs>
        <w:ind w:firstLine="709"/>
        <w:jc w:val="center"/>
        <w:rPr>
          <w:rFonts w:ascii="Times New Roman" w:hAnsi="Times New Roman" w:cs="Times New Roman"/>
          <w:sz w:val="28"/>
          <w:szCs w:val="28"/>
        </w:rPr>
      </w:pPr>
    </w:p>
    <w:p w:rsidR="00A5156B" w:rsidRPr="006B4E8E" w:rsidRDefault="00A5156B" w:rsidP="00A5156B">
      <w:pPr>
        <w:pStyle w:val="ConsPlusNormal"/>
        <w:tabs>
          <w:tab w:val="left" w:pos="709"/>
        </w:tabs>
        <w:jc w:val="center"/>
        <w:rPr>
          <w:rFonts w:ascii="Times New Roman" w:hAnsi="Times New Roman" w:cs="Times New Roman"/>
          <w:sz w:val="28"/>
          <w:szCs w:val="28"/>
        </w:rPr>
      </w:pPr>
      <w:r w:rsidRPr="006B4E8E">
        <w:rPr>
          <w:rFonts w:ascii="Times New Roman" w:hAnsi="Times New Roman" w:cs="Times New Roman"/>
          <w:sz w:val="28"/>
          <w:szCs w:val="28"/>
          <w:lang w:val="en-US"/>
        </w:rPr>
        <w:t>k</w:t>
      </w:r>
      <w:r w:rsidRPr="006B4E8E">
        <w:rPr>
          <w:rFonts w:ascii="Times New Roman" w:hAnsi="Times New Roman" w:cs="Times New Roman"/>
          <w:sz w:val="28"/>
          <w:szCs w:val="28"/>
        </w:rPr>
        <w:t xml:space="preserve"> = ∑ </w:t>
      </w:r>
      <w:r w:rsidRPr="006B4E8E">
        <w:rPr>
          <w:rFonts w:ascii="Times New Roman" w:hAnsi="Times New Roman" w:cs="Times New Roman"/>
          <w:sz w:val="28"/>
          <w:szCs w:val="28"/>
          <w:lang w:val="en-US"/>
        </w:rPr>
        <w:t>D</w:t>
      </w:r>
      <w:r w:rsidRPr="006B4E8E">
        <w:rPr>
          <w:rFonts w:ascii="Times New Roman" w:hAnsi="Times New Roman" w:cs="Times New Roman"/>
          <w:sz w:val="28"/>
          <w:szCs w:val="28"/>
          <w:vertAlign w:val="subscript"/>
          <w:lang w:val="en-US"/>
        </w:rPr>
        <w:t>i</w:t>
      </w:r>
      <w:r w:rsidRPr="006B4E8E">
        <w:rPr>
          <w:rFonts w:ascii="Times New Roman" w:hAnsi="Times New Roman" w:cs="Times New Roman"/>
          <w:sz w:val="28"/>
          <w:szCs w:val="28"/>
        </w:rPr>
        <w:t xml:space="preserve"> / </w:t>
      </w:r>
      <w:r w:rsidRPr="006B4E8E">
        <w:rPr>
          <w:rFonts w:ascii="Times New Roman" w:hAnsi="Times New Roman" w:cs="Times New Roman"/>
          <w:sz w:val="28"/>
          <w:szCs w:val="28"/>
          <w:lang w:val="en-US"/>
        </w:rPr>
        <w:t>m</w:t>
      </w:r>
      <w:r w:rsidRPr="006B4E8E">
        <w:rPr>
          <w:rFonts w:ascii="Times New Roman" w:hAnsi="Times New Roman" w:cs="Times New Roman"/>
          <w:sz w:val="28"/>
          <w:szCs w:val="28"/>
        </w:rPr>
        <w:t>,</w:t>
      </w:r>
    </w:p>
    <w:p w:rsidR="00A5156B" w:rsidRPr="006B4E8E" w:rsidRDefault="00A5156B" w:rsidP="00A5156B">
      <w:pPr>
        <w:pStyle w:val="ConsPlusNormal"/>
        <w:tabs>
          <w:tab w:val="left" w:pos="709"/>
        </w:tabs>
        <w:jc w:val="both"/>
        <w:rPr>
          <w:rFonts w:ascii="Times New Roman" w:hAnsi="Times New Roman" w:cs="Times New Roman"/>
          <w:sz w:val="28"/>
          <w:szCs w:val="28"/>
        </w:rPr>
      </w:pPr>
      <w:r w:rsidRPr="006B4E8E">
        <w:rPr>
          <w:rFonts w:ascii="Times New Roman" w:hAnsi="Times New Roman" w:cs="Times New Roman"/>
          <w:sz w:val="28"/>
          <w:szCs w:val="28"/>
        </w:rPr>
        <w:t>где D</w:t>
      </w:r>
      <w:r w:rsidRPr="006B4E8E">
        <w:rPr>
          <w:rFonts w:ascii="Times New Roman" w:hAnsi="Times New Roman" w:cs="Times New Roman"/>
          <w:sz w:val="28"/>
          <w:szCs w:val="28"/>
          <w:vertAlign w:val="subscript"/>
        </w:rPr>
        <w:t>i</w:t>
      </w:r>
      <w:r w:rsidRPr="006B4E8E">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6B4E8E">
        <w:rPr>
          <w:rFonts w:ascii="Times New Roman" w:hAnsi="Times New Roman" w:cs="Times New Roman"/>
          <w:sz w:val="28"/>
          <w:szCs w:val="28"/>
        </w:rPr>
        <w:noBreakHyphen/>
        <w:t>го результата использования субсидии.</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Индекс, отражающий уровень недостижения i-го результата использования субсидии</w:t>
      </w:r>
      <w:r w:rsidRPr="006B4E8E" w:rsidDel="00B75670">
        <w:rPr>
          <w:rFonts w:ascii="Times New Roman" w:hAnsi="Times New Roman" w:cs="Times New Roman"/>
          <w:sz w:val="28"/>
          <w:szCs w:val="28"/>
        </w:rPr>
        <w:t xml:space="preserve"> </w:t>
      </w:r>
      <w:r w:rsidRPr="006B4E8E">
        <w:rPr>
          <w:rFonts w:ascii="Times New Roman" w:hAnsi="Times New Roman" w:cs="Times New Roman"/>
          <w:sz w:val="28"/>
          <w:szCs w:val="28"/>
        </w:rPr>
        <w:t>(D</w:t>
      </w:r>
      <w:r w:rsidRPr="006B4E8E">
        <w:rPr>
          <w:rFonts w:ascii="Times New Roman" w:hAnsi="Times New Roman" w:cs="Times New Roman"/>
          <w:sz w:val="28"/>
          <w:szCs w:val="28"/>
          <w:vertAlign w:val="subscript"/>
        </w:rPr>
        <w:t>i</w:t>
      </w:r>
      <w:r w:rsidRPr="006B4E8E">
        <w:rPr>
          <w:rFonts w:ascii="Times New Roman" w:hAnsi="Times New Roman" w:cs="Times New Roman"/>
          <w:sz w:val="28"/>
          <w:szCs w:val="28"/>
        </w:rPr>
        <w:t>), определяется по формуле:</w:t>
      </w:r>
    </w:p>
    <w:p w:rsidR="00A5156B" w:rsidRPr="006B4E8E" w:rsidRDefault="00A5156B" w:rsidP="00A5156B">
      <w:pPr>
        <w:pStyle w:val="ConsPlusNormal"/>
        <w:tabs>
          <w:tab w:val="left" w:pos="709"/>
        </w:tabs>
        <w:jc w:val="both"/>
        <w:rPr>
          <w:rFonts w:ascii="Times New Roman" w:hAnsi="Times New Roman" w:cs="Times New Roman"/>
          <w:sz w:val="28"/>
          <w:szCs w:val="28"/>
        </w:rPr>
      </w:pPr>
    </w:p>
    <w:p w:rsidR="00A5156B" w:rsidRPr="006B4E8E" w:rsidRDefault="00A5156B" w:rsidP="00A5156B">
      <w:pPr>
        <w:pStyle w:val="ConsPlusNormal"/>
        <w:tabs>
          <w:tab w:val="left" w:pos="709"/>
        </w:tabs>
        <w:jc w:val="center"/>
        <w:rPr>
          <w:rFonts w:ascii="Times New Roman" w:hAnsi="Times New Roman" w:cs="Times New Roman"/>
          <w:sz w:val="28"/>
          <w:szCs w:val="28"/>
        </w:rPr>
      </w:pPr>
      <w:r w:rsidRPr="006B4E8E">
        <w:rPr>
          <w:rFonts w:ascii="Times New Roman" w:hAnsi="Times New Roman" w:cs="Times New Roman"/>
          <w:sz w:val="28"/>
          <w:szCs w:val="28"/>
        </w:rPr>
        <w:t>D</w:t>
      </w:r>
      <w:r w:rsidRPr="006B4E8E">
        <w:rPr>
          <w:rFonts w:ascii="Times New Roman" w:hAnsi="Times New Roman" w:cs="Times New Roman"/>
          <w:sz w:val="28"/>
          <w:szCs w:val="28"/>
          <w:vertAlign w:val="subscript"/>
        </w:rPr>
        <w:t>i</w:t>
      </w:r>
      <w:r w:rsidRPr="006B4E8E">
        <w:rPr>
          <w:rFonts w:ascii="Times New Roman" w:hAnsi="Times New Roman" w:cs="Times New Roman"/>
          <w:sz w:val="28"/>
          <w:szCs w:val="28"/>
        </w:rPr>
        <w:t xml:space="preserve"> = 1 – T</w:t>
      </w:r>
      <w:r w:rsidRPr="006B4E8E">
        <w:rPr>
          <w:rFonts w:ascii="Times New Roman" w:hAnsi="Times New Roman" w:cs="Times New Roman"/>
          <w:sz w:val="28"/>
          <w:szCs w:val="28"/>
          <w:vertAlign w:val="subscript"/>
        </w:rPr>
        <w:t>i</w:t>
      </w:r>
      <w:r w:rsidRPr="006B4E8E">
        <w:rPr>
          <w:rFonts w:ascii="Times New Roman" w:hAnsi="Times New Roman" w:cs="Times New Roman"/>
          <w:sz w:val="28"/>
          <w:szCs w:val="28"/>
        </w:rPr>
        <w:t xml:space="preserve"> / S</w:t>
      </w:r>
      <w:r w:rsidRPr="006B4E8E">
        <w:rPr>
          <w:rFonts w:ascii="Times New Roman" w:hAnsi="Times New Roman" w:cs="Times New Roman"/>
          <w:sz w:val="28"/>
          <w:szCs w:val="28"/>
          <w:vertAlign w:val="subscript"/>
        </w:rPr>
        <w:t>i</w:t>
      </w:r>
      <w:r w:rsidRPr="006B4E8E">
        <w:rPr>
          <w:rFonts w:ascii="Times New Roman" w:hAnsi="Times New Roman" w:cs="Times New Roman"/>
          <w:sz w:val="28"/>
          <w:szCs w:val="28"/>
        </w:rPr>
        <w:t>,</w:t>
      </w:r>
    </w:p>
    <w:p w:rsidR="00A5156B" w:rsidRPr="006B4E8E" w:rsidRDefault="00A5156B" w:rsidP="00A5156B">
      <w:pPr>
        <w:pStyle w:val="ConsPlusNormal"/>
        <w:tabs>
          <w:tab w:val="left" w:pos="709"/>
        </w:tabs>
        <w:jc w:val="both"/>
        <w:rPr>
          <w:rFonts w:ascii="Times New Roman" w:hAnsi="Times New Roman" w:cs="Times New Roman"/>
          <w:sz w:val="28"/>
          <w:szCs w:val="28"/>
        </w:rPr>
      </w:pPr>
      <w:r w:rsidRPr="006B4E8E">
        <w:rPr>
          <w:rFonts w:ascii="Times New Roman" w:hAnsi="Times New Roman" w:cs="Times New Roman"/>
          <w:sz w:val="28"/>
          <w:szCs w:val="28"/>
        </w:rPr>
        <w:t>где:</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Т</w:t>
      </w:r>
      <w:r w:rsidRPr="006B4E8E">
        <w:rPr>
          <w:rFonts w:ascii="Times New Roman" w:hAnsi="Times New Roman" w:cs="Times New Roman"/>
          <w:sz w:val="28"/>
          <w:szCs w:val="28"/>
          <w:vertAlign w:val="subscript"/>
        </w:rPr>
        <w:t>i</w:t>
      </w:r>
      <w:r w:rsidRPr="006B4E8E">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S</w:t>
      </w:r>
      <w:r w:rsidRPr="006B4E8E">
        <w:rPr>
          <w:rFonts w:ascii="Times New Roman" w:hAnsi="Times New Roman" w:cs="Times New Roman"/>
          <w:sz w:val="28"/>
          <w:szCs w:val="28"/>
          <w:vertAlign w:val="subscript"/>
        </w:rPr>
        <w:t>i</w:t>
      </w:r>
      <w:r w:rsidRPr="006B4E8E">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A5156B" w:rsidRPr="006B4E8E" w:rsidRDefault="00A5156B" w:rsidP="00A5156B">
      <w:pPr>
        <w:ind w:firstLine="709"/>
        <w:jc w:val="both"/>
        <w:rPr>
          <w:szCs w:val="28"/>
        </w:rPr>
      </w:pPr>
      <w:r w:rsidRPr="006B4E8E">
        <w:rPr>
          <w:szCs w:val="28"/>
        </w:rPr>
        <w:t>19. В случае выявления недостаточного софинансирования расходных обязательств мэрии города Ярославля из местного бюджета объем средств, подлежащих возврату из местного бюджета в областной бюджет (S</w:t>
      </w:r>
      <w:r w:rsidRPr="006B4E8E">
        <w:rPr>
          <w:szCs w:val="28"/>
          <w:vertAlign w:val="subscript"/>
        </w:rPr>
        <w:t>н</w:t>
      </w:r>
      <w:r w:rsidRPr="006B4E8E">
        <w:rPr>
          <w:szCs w:val="28"/>
        </w:rPr>
        <w:t>), рассчитывается по формуле:</w:t>
      </w:r>
    </w:p>
    <w:p w:rsidR="00A5156B" w:rsidRPr="006B4E8E" w:rsidRDefault="00A5156B" w:rsidP="00A5156B">
      <w:pPr>
        <w:jc w:val="both"/>
        <w:rPr>
          <w:szCs w:val="28"/>
        </w:rPr>
      </w:pPr>
    </w:p>
    <w:p w:rsidR="00A5156B" w:rsidRPr="006B4E8E" w:rsidRDefault="00A5156B" w:rsidP="00A5156B">
      <w:pPr>
        <w:jc w:val="center"/>
        <w:rPr>
          <w:szCs w:val="28"/>
        </w:rPr>
      </w:pPr>
      <w:r w:rsidRPr="006B4E8E">
        <w:rPr>
          <w:szCs w:val="28"/>
        </w:rPr>
        <w:t>S</w:t>
      </w:r>
      <w:r w:rsidRPr="006B4E8E">
        <w:rPr>
          <w:szCs w:val="28"/>
          <w:vertAlign w:val="subscript"/>
        </w:rPr>
        <w:t>н</w:t>
      </w:r>
      <w:r w:rsidRPr="006B4E8E">
        <w:rPr>
          <w:szCs w:val="28"/>
        </w:rPr>
        <w:t xml:space="preserve"> = S</w:t>
      </w:r>
      <w:r w:rsidRPr="006B4E8E">
        <w:rPr>
          <w:szCs w:val="28"/>
          <w:vertAlign w:val="subscript"/>
        </w:rPr>
        <w:t>ф</w:t>
      </w:r>
      <w:r w:rsidRPr="006B4E8E">
        <w:rPr>
          <w:szCs w:val="28"/>
        </w:rPr>
        <w:t xml:space="preserve"> </w:t>
      </w:r>
      <w:r w:rsidRPr="006B4E8E">
        <w:rPr>
          <w:noProof/>
          <w:szCs w:val="28"/>
        </w:rPr>
        <w:drawing>
          <wp:inline distT="0" distB="0" distL="0" distR="0">
            <wp:extent cx="123825" cy="200025"/>
            <wp:effectExtent l="19050" t="0" r="0" b="0"/>
            <wp:docPr id="1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r w:rsidRPr="006B4E8E">
        <w:rPr>
          <w:szCs w:val="28"/>
        </w:rPr>
        <w:t xml:space="preserve"> S</w:t>
      </w:r>
      <w:r w:rsidRPr="006B4E8E">
        <w:rPr>
          <w:szCs w:val="28"/>
          <w:vertAlign w:val="subscript"/>
        </w:rPr>
        <w:t>к</w:t>
      </w:r>
      <w:r w:rsidRPr="006B4E8E">
        <w:rPr>
          <w:szCs w:val="28"/>
        </w:rPr>
        <w:t xml:space="preserve"> </w:t>
      </w:r>
      <w:r w:rsidRPr="006B4E8E">
        <w:rPr>
          <w:noProof/>
          <w:szCs w:val="28"/>
        </w:rPr>
        <w:drawing>
          <wp:inline distT="0" distB="0" distL="0" distR="0">
            <wp:extent cx="95250" cy="180975"/>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95250" cy="180975"/>
                    </a:xfrm>
                    <a:prstGeom prst="rect">
                      <a:avLst/>
                    </a:prstGeom>
                    <a:noFill/>
                    <a:ln w="9525">
                      <a:noFill/>
                      <a:miter lim="800000"/>
                      <a:headEnd/>
                      <a:tailEnd/>
                    </a:ln>
                  </pic:spPr>
                </pic:pic>
              </a:graphicData>
            </a:graphic>
          </wp:inline>
        </w:drawing>
      </w:r>
      <w:r w:rsidRPr="006B4E8E">
        <w:rPr>
          <w:szCs w:val="28"/>
        </w:rPr>
        <w:t xml:space="preserve"> К</w:t>
      </w:r>
      <w:r w:rsidRPr="006B4E8E">
        <w:rPr>
          <w:szCs w:val="28"/>
          <w:vertAlign w:val="subscript"/>
        </w:rPr>
        <w:t>ф</w:t>
      </w:r>
      <w:r w:rsidRPr="006B4E8E">
        <w:rPr>
          <w:szCs w:val="28"/>
        </w:rPr>
        <w:t>,</w:t>
      </w:r>
    </w:p>
    <w:p w:rsidR="00A5156B" w:rsidRPr="006B4E8E" w:rsidRDefault="00A5156B" w:rsidP="00A5156B">
      <w:pPr>
        <w:jc w:val="both"/>
        <w:rPr>
          <w:szCs w:val="28"/>
        </w:rPr>
      </w:pPr>
      <w:r w:rsidRPr="006B4E8E">
        <w:rPr>
          <w:szCs w:val="28"/>
        </w:rPr>
        <w:t>где:</w:t>
      </w:r>
    </w:p>
    <w:p w:rsidR="00A5156B" w:rsidRPr="006B4E8E" w:rsidRDefault="00A5156B" w:rsidP="00A5156B">
      <w:pPr>
        <w:ind w:firstLine="709"/>
        <w:jc w:val="both"/>
        <w:rPr>
          <w:szCs w:val="28"/>
        </w:rPr>
      </w:pPr>
      <w:r w:rsidRPr="006B4E8E">
        <w:rPr>
          <w:szCs w:val="28"/>
        </w:rPr>
        <w:t>S</w:t>
      </w:r>
      <w:r w:rsidRPr="006B4E8E">
        <w:rPr>
          <w:szCs w:val="28"/>
          <w:vertAlign w:val="subscript"/>
        </w:rPr>
        <w:t>ф</w:t>
      </w:r>
      <w:r w:rsidRPr="006B4E8E">
        <w:rPr>
          <w:szCs w:val="28"/>
        </w:rPr>
        <w:t xml:space="preserve"> – размер субсидии по состоянию на дату окончания контрольного мероприятия;</w:t>
      </w:r>
    </w:p>
    <w:p w:rsidR="00A5156B" w:rsidRPr="006B4E8E" w:rsidRDefault="00A5156B" w:rsidP="00A5156B">
      <w:pPr>
        <w:ind w:firstLine="709"/>
        <w:jc w:val="both"/>
        <w:rPr>
          <w:szCs w:val="28"/>
        </w:rPr>
      </w:pPr>
      <w:r w:rsidRPr="006B4E8E">
        <w:rPr>
          <w:szCs w:val="28"/>
        </w:rPr>
        <w:t>S</w:t>
      </w:r>
      <w:r w:rsidRPr="006B4E8E">
        <w:rPr>
          <w:szCs w:val="28"/>
          <w:vertAlign w:val="subscript"/>
        </w:rPr>
        <w:t>к</w:t>
      </w:r>
      <w:r w:rsidRPr="006B4E8E">
        <w:rPr>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мэрии города Ярославля получателем средств, необходимых для исполнения расходного обязательства мэрии города Ярославля, в целях софинансирования которого </w:t>
      </w:r>
      <w:r w:rsidRPr="006B4E8E">
        <w:rPr>
          <w:szCs w:val="28"/>
        </w:rPr>
        <w:lastRenderedPageBreak/>
        <w:t>предоставлена субсидия, по состоянию на дату окончания контрольного мероприятия;</w:t>
      </w:r>
    </w:p>
    <w:p w:rsidR="00A5156B" w:rsidRPr="006B4E8E" w:rsidRDefault="00A5156B" w:rsidP="00A5156B">
      <w:pPr>
        <w:ind w:firstLine="709"/>
        <w:jc w:val="both"/>
        <w:rPr>
          <w:szCs w:val="28"/>
        </w:rPr>
      </w:pPr>
      <w:r w:rsidRPr="006B4E8E">
        <w:rPr>
          <w:szCs w:val="28"/>
        </w:rPr>
        <w:t>K</w:t>
      </w:r>
      <w:r w:rsidRPr="006B4E8E">
        <w:rPr>
          <w:szCs w:val="28"/>
          <w:vertAlign w:val="subscript"/>
        </w:rPr>
        <w:t>ф</w:t>
      </w:r>
      <w:r w:rsidRPr="006B4E8E">
        <w:rPr>
          <w:szCs w:val="28"/>
        </w:rPr>
        <w:t xml:space="preserve"> – безразмерный коэффициент, выражающий уровень софинансирования расходного обязательства мэрии города Ярославля из областного бюджета по соответствующему мероприятию, предусмотренный соглашением.</w:t>
      </w:r>
    </w:p>
    <w:p w:rsidR="00A5156B" w:rsidRPr="006B4E8E" w:rsidRDefault="00A5156B" w:rsidP="00A5156B">
      <w:pPr>
        <w:ind w:firstLine="709"/>
        <w:jc w:val="both"/>
        <w:rPr>
          <w:szCs w:val="28"/>
        </w:rPr>
      </w:pPr>
      <w:r w:rsidRPr="006B4E8E">
        <w:rPr>
          <w:szCs w:val="28"/>
        </w:rPr>
        <w:t>20. При выявлении случаев, указанных в пункте 17 Порядка, департамент в срок не позднее 15 марта текущего финансового года направляет в адрес мэрии города Ярославля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A5156B" w:rsidRPr="006B4E8E" w:rsidRDefault="00A5156B" w:rsidP="00A5156B">
      <w:pPr>
        <w:ind w:firstLine="709"/>
        <w:jc w:val="both"/>
        <w:rPr>
          <w:szCs w:val="28"/>
        </w:rPr>
      </w:pPr>
      <w:r w:rsidRPr="006B4E8E">
        <w:rPr>
          <w:szCs w:val="28"/>
        </w:rPr>
        <w:t>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мэрией города Ярославля средств местного бюджета в областной бюджет в срок, установленный абзацем первым данного пункта.</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lang w:eastAsia="en-US"/>
        </w:rPr>
        <w:t>21. Средства, перечисленные из местного бюджета в областной бюджет в соответствии</w:t>
      </w:r>
      <w:r w:rsidRPr="006B4E8E">
        <w:rPr>
          <w:rFonts w:ascii="Times New Roman" w:hAnsi="Times New Roman" w:cs="Times New Roman"/>
          <w:sz w:val="28"/>
          <w:szCs w:val="28"/>
        </w:rPr>
        <w:t xml:space="preserve"> с </w:t>
      </w:r>
      <w:hyperlink w:anchor="P116" w:history="1">
        <w:r w:rsidRPr="006B4E8E">
          <w:rPr>
            <w:rFonts w:ascii="Times New Roman" w:hAnsi="Times New Roman" w:cs="Times New Roman"/>
            <w:sz w:val="28"/>
            <w:szCs w:val="28"/>
          </w:rPr>
          <w:t xml:space="preserve">пунктами </w:t>
        </w:r>
      </w:hyperlink>
      <w:r w:rsidRPr="006B4E8E">
        <w:rPr>
          <w:rFonts w:ascii="Times New Roman" w:hAnsi="Times New Roman" w:cs="Times New Roman"/>
          <w:sz w:val="28"/>
          <w:szCs w:val="28"/>
        </w:rPr>
        <w:t xml:space="preserve">17 и </w:t>
      </w:r>
      <w:hyperlink w:anchor="P117" w:history="1">
        <w:r w:rsidRPr="006B4E8E">
          <w:rPr>
            <w:rFonts w:ascii="Times New Roman" w:hAnsi="Times New Roman" w:cs="Times New Roman"/>
            <w:sz w:val="28"/>
            <w:szCs w:val="28"/>
          </w:rPr>
          <w:t>18</w:t>
        </w:r>
      </w:hyperlink>
      <w:r w:rsidRPr="006B4E8E">
        <w:rPr>
          <w:rFonts w:ascii="Times New Roman" w:hAnsi="Times New Roman" w:cs="Times New Roman"/>
          <w:sz w:val="28"/>
          <w:szCs w:val="28"/>
        </w:rPr>
        <w:t xml:space="preserve"> Порядка, зачисляются в дорожный фонд Ярославской области.</w:t>
      </w:r>
    </w:p>
    <w:p w:rsidR="00A5156B" w:rsidRPr="006B4E8E" w:rsidRDefault="00A5156B" w:rsidP="00A5156B">
      <w:pPr>
        <w:ind w:firstLine="709"/>
        <w:jc w:val="both"/>
        <w:rPr>
          <w:szCs w:val="28"/>
        </w:rPr>
      </w:pPr>
      <w:bookmarkStart w:id="1" w:name="sub_54"/>
      <w:r w:rsidRPr="006B4E8E">
        <w:rPr>
          <w:szCs w:val="28"/>
        </w:rPr>
        <w:t>22. В случае нецелевого использования субсидии к мэрии города Ярославля применяются бюджетные меры принуждения, предусмотренные законодательством Российской Федерации.</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23. Контроль за соблюдением мэрией города Ярославля условий предоставления и расходования субсидии осуществляется департаментом и органом государственного финансового контроля Ярославской области.</w:t>
      </w:r>
    </w:p>
    <w:p w:rsidR="00A5156B" w:rsidRPr="006B4E8E" w:rsidRDefault="00A5156B" w:rsidP="00A5156B">
      <w:pPr>
        <w:ind w:firstLine="709"/>
        <w:jc w:val="both"/>
        <w:rPr>
          <w:szCs w:val="28"/>
        </w:rPr>
      </w:pPr>
      <w:r w:rsidRPr="006B4E8E">
        <w:rPr>
          <w:szCs w:val="28"/>
        </w:rPr>
        <w:t xml:space="preserve">24.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10" w:history="1">
        <w:r w:rsidRPr="006B4E8E">
          <w:rPr>
            <w:szCs w:val="28"/>
          </w:rPr>
          <w:t>постановлением</w:t>
        </w:r>
      </w:hyperlink>
      <w:r w:rsidRPr="006B4E8E">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A5156B" w:rsidRPr="006B4E8E" w:rsidRDefault="00A5156B" w:rsidP="00A5156B">
      <w:pPr>
        <w:ind w:firstLine="709"/>
        <w:jc w:val="both"/>
        <w:rPr>
          <w:szCs w:val="28"/>
        </w:rPr>
      </w:pPr>
      <w:r w:rsidRPr="006B4E8E">
        <w:rPr>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11" w:history="1">
        <w:r w:rsidRPr="006B4E8E">
          <w:rPr>
            <w:szCs w:val="28"/>
          </w:rPr>
          <w:t>постановлением</w:t>
        </w:r>
      </w:hyperlink>
      <w:r w:rsidRPr="006B4E8E">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 действие соглашения продлевается на очередной финансовый год путем заключения дополнительного соглашения. </w:t>
      </w:r>
    </w:p>
    <w:bookmarkEnd w:id="1"/>
    <w:p w:rsidR="00A5156B" w:rsidRPr="006B4E8E" w:rsidRDefault="00A5156B" w:rsidP="00A5156B">
      <w:pPr>
        <w:pStyle w:val="ConsPlusNormal"/>
        <w:jc w:val="both"/>
        <w:rPr>
          <w:rFonts w:ascii="Times New Roman" w:hAnsi="Times New Roman" w:cs="Times New Roman"/>
          <w:sz w:val="28"/>
          <w:szCs w:val="28"/>
        </w:rPr>
      </w:pPr>
    </w:p>
    <w:p w:rsidR="00A5156B" w:rsidRPr="006B4E8E" w:rsidRDefault="00A5156B" w:rsidP="00A5156B">
      <w:pPr>
        <w:rPr>
          <w:szCs w:val="28"/>
        </w:rPr>
        <w:sectPr w:rsidR="00A5156B" w:rsidRPr="006B4E8E" w:rsidSect="00C13E42">
          <w:headerReference w:type="default" r:id="rId12"/>
          <w:pgSz w:w="11907" w:h="16840" w:code="9"/>
          <w:pgMar w:top="1134" w:right="851" w:bottom="1134" w:left="1701" w:header="709" w:footer="709" w:gutter="0"/>
          <w:cols w:space="720"/>
          <w:titlePg/>
          <w:docGrid w:linePitch="381"/>
        </w:sectPr>
      </w:pPr>
    </w:p>
    <w:p w:rsidR="00A5156B" w:rsidRPr="006B4E8E" w:rsidRDefault="00A5156B" w:rsidP="00A5156B">
      <w:pPr>
        <w:pStyle w:val="ConsPlusNormal"/>
        <w:ind w:firstLine="5103"/>
        <w:jc w:val="both"/>
        <w:rPr>
          <w:rFonts w:ascii="Times New Roman" w:hAnsi="Times New Roman" w:cs="Times New Roman"/>
          <w:sz w:val="28"/>
          <w:szCs w:val="28"/>
        </w:rPr>
      </w:pPr>
      <w:r w:rsidRPr="006B4E8E">
        <w:rPr>
          <w:rFonts w:ascii="Times New Roman" w:hAnsi="Times New Roman" w:cs="Times New Roman"/>
          <w:sz w:val="28"/>
          <w:szCs w:val="28"/>
        </w:rPr>
        <w:lastRenderedPageBreak/>
        <w:t xml:space="preserve">Приложение </w:t>
      </w:r>
    </w:p>
    <w:p w:rsidR="00A5156B" w:rsidRPr="006B4E8E" w:rsidRDefault="00A5156B" w:rsidP="00A5156B">
      <w:pPr>
        <w:pStyle w:val="ConsPlusTitle"/>
        <w:ind w:left="5103"/>
        <w:rPr>
          <w:rFonts w:ascii="Times New Roman" w:hAnsi="Times New Roman" w:cs="Times New Roman"/>
          <w:b w:val="0"/>
          <w:sz w:val="28"/>
          <w:szCs w:val="28"/>
        </w:rPr>
      </w:pPr>
      <w:r w:rsidRPr="006B4E8E">
        <w:rPr>
          <w:rFonts w:ascii="Times New Roman" w:hAnsi="Times New Roman" w:cs="Times New Roman"/>
          <w:b w:val="0"/>
          <w:sz w:val="28"/>
          <w:szCs w:val="28"/>
        </w:rPr>
        <w:t xml:space="preserve">к Порядку предоставления </w:t>
      </w:r>
    </w:p>
    <w:p w:rsidR="00A5156B" w:rsidRPr="006B4E8E" w:rsidRDefault="00A5156B" w:rsidP="00A5156B">
      <w:pPr>
        <w:pStyle w:val="ConsPlusTitle"/>
        <w:ind w:left="5103"/>
        <w:rPr>
          <w:rFonts w:ascii="Times New Roman" w:hAnsi="Times New Roman" w:cs="Times New Roman"/>
          <w:b w:val="0"/>
          <w:sz w:val="28"/>
          <w:szCs w:val="28"/>
        </w:rPr>
      </w:pPr>
      <w:r w:rsidRPr="006B4E8E">
        <w:rPr>
          <w:rFonts w:ascii="Times New Roman" w:hAnsi="Times New Roman" w:cs="Times New Roman"/>
          <w:b w:val="0"/>
          <w:sz w:val="28"/>
          <w:szCs w:val="28"/>
        </w:rPr>
        <w:t xml:space="preserve">субсидии на содержание </w:t>
      </w:r>
    </w:p>
    <w:p w:rsidR="00A5156B" w:rsidRPr="006B4E8E" w:rsidRDefault="00A5156B" w:rsidP="00A5156B">
      <w:pPr>
        <w:pStyle w:val="ConsPlusTitle"/>
        <w:ind w:left="5103"/>
        <w:rPr>
          <w:rFonts w:ascii="Times New Roman" w:hAnsi="Times New Roman" w:cs="Times New Roman"/>
          <w:b w:val="0"/>
          <w:sz w:val="28"/>
          <w:szCs w:val="28"/>
        </w:rPr>
      </w:pPr>
      <w:r w:rsidRPr="006B4E8E">
        <w:rPr>
          <w:rFonts w:ascii="Times New Roman" w:hAnsi="Times New Roman" w:cs="Times New Roman"/>
          <w:b w:val="0"/>
          <w:sz w:val="28"/>
          <w:szCs w:val="28"/>
        </w:rPr>
        <w:t xml:space="preserve">автомобильных дорог общего пользования местного значения города Ярославля и искусственных сооружений на них </w:t>
      </w:r>
    </w:p>
    <w:p w:rsidR="00A5156B" w:rsidRPr="006B4E8E" w:rsidRDefault="00A5156B" w:rsidP="00A5156B">
      <w:pPr>
        <w:pStyle w:val="ConsPlusNormal"/>
        <w:jc w:val="both"/>
        <w:rPr>
          <w:rFonts w:ascii="Times New Roman" w:hAnsi="Times New Roman" w:cs="Times New Roman"/>
          <w:sz w:val="28"/>
          <w:szCs w:val="28"/>
        </w:rPr>
      </w:pPr>
    </w:p>
    <w:p w:rsidR="00A5156B" w:rsidRPr="006B4E8E" w:rsidRDefault="00A5156B" w:rsidP="00A5156B">
      <w:pPr>
        <w:pStyle w:val="ConsPlusNormal"/>
        <w:jc w:val="both"/>
        <w:rPr>
          <w:rFonts w:ascii="Times New Roman" w:hAnsi="Times New Roman" w:cs="Times New Roman"/>
          <w:sz w:val="28"/>
          <w:szCs w:val="28"/>
        </w:rPr>
      </w:pPr>
    </w:p>
    <w:p w:rsidR="00A5156B" w:rsidRPr="006B4E8E" w:rsidRDefault="00A5156B" w:rsidP="00A5156B">
      <w:pPr>
        <w:pStyle w:val="ConsPlusNormal"/>
        <w:jc w:val="center"/>
        <w:rPr>
          <w:rFonts w:ascii="Times New Roman" w:hAnsi="Times New Roman" w:cs="Times New Roman"/>
          <w:b/>
          <w:sz w:val="28"/>
          <w:szCs w:val="28"/>
        </w:rPr>
      </w:pPr>
      <w:r w:rsidRPr="006B4E8E">
        <w:rPr>
          <w:rFonts w:ascii="Times New Roman" w:hAnsi="Times New Roman" w:cs="Times New Roman"/>
          <w:b/>
          <w:sz w:val="28"/>
          <w:szCs w:val="28"/>
        </w:rPr>
        <w:t>ПОРЯДОК</w:t>
      </w:r>
    </w:p>
    <w:p w:rsidR="00A5156B" w:rsidRPr="006B4E8E" w:rsidRDefault="00A5156B" w:rsidP="00A5156B">
      <w:pPr>
        <w:pStyle w:val="ConsPlusNormal"/>
        <w:jc w:val="center"/>
        <w:rPr>
          <w:rFonts w:ascii="Times New Roman" w:hAnsi="Times New Roman" w:cs="Times New Roman"/>
          <w:b/>
          <w:sz w:val="28"/>
          <w:szCs w:val="28"/>
        </w:rPr>
      </w:pPr>
      <w:r w:rsidRPr="006B4E8E">
        <w:rPr>
          <w:rFonts w:ascii="Times New Roman" w:hAnsi="Times New Roman" w:cs="Times New Roman"/>
          <w:b/>
          <w:sz w:val="28"/>
          <w:szCs w:val="28"/>
        </w:rPr>
        <w:t xml:space="preserve">оценки результативности и эффективности использования субсидии </w:t>
      </w:r>
    </w:p>
    <w:p w:rsidR="00A5156B" w:rsidRPr="006B4E8E" w:rsidRDefault="00A5156B" w:rsidP="00A5156B">
      <w:pPr>
        <w:pStyle w:val="ConsPlusNormal"/>
        <w:jc w:val="center"/>
        <w:rPr>
          <w:rFonts w:ascii="Times New Roman" w:hAnsi="Times New Roman" w:cs="Times New Roman"/>
          <w:b/>
          <w:sz w:val="28"/>
          <w:szCs w:val="28"/>
        </w:rPr>
      </w:pPr>
      <w:r w:rsidRPr="006B4E8E">
        <w:rPr>
          <w:rFonts w:ascii="Times New Roman" w:hAnsi="Times New Roman" w:cs="Times New Roman"/>
          <w:b/>
          <w:sz w:val="28"/>
          <w:szCs w:val="28"/>
        </w:rPr>
        <w:t xml:space="preserve">на содержание автомобильных дорог общего пользования местного </w:t>
      </w:r>
    </w:p>
    <w:p w:rsidR="00A5156B" w:rsidRPr="006B4E8E" w:rsidRDefault="00A5156B" w:rsidP="00A5156B">
      <w:pPr>
        <w:pStyle w:val="ConsPlusNormal"/>
        <w:jc w:val="center"/>
        <w:rPr>
          <w:rFonts w:ascii="Times New Roman" w:hAnsi="Times New Roman" w:cs="Times New Roman"/>
          <w:b/>
          <w:sz w:val="28"/>
          <w:szCs w:val="28"/>
        </w:rPr>
      </w:pPr>
      <w:r w:rsidRPr="006B4E8E">
        <w:rPr>
          <w:rFonts w:ascii="Times New Roman" w:hAnsi="Times New Roman" w:cs="Times New Roman"/>
          <w:b/>
          <w:sz w:val="28"/>
          <w:szCs w:val="28"/>
        </w:rPr>
        <w:t>значения города Ярославля и искусственных сооружений на них</w:t>
      </w:r>
    </w:p>
    <w:p w:rsidR="00A5156B" w:rsidRPr="006B4E8E" w:rsidRDefault="00A5156B" w:rsidP="00A5156B">
      <w:pPr>
        <w:pStyle w:val="ConsPlusNormal"/>
        <w:jc w:val="both"/>
        <w:rPr>
          <w:rFonts w:ascii="Times New Roman" w:hAnsi="Times New Roman" w:cs="Times New Roman"/>
          <w:sz w:val="28"/>
          <w:szCs w:val="28"/>
        </w:rPr>
      </w:pP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Оценка результативности и эффективности использования субсидии на содержание автомобильных дорог общего пользования местного значения города Ярославля и искусственных сооружений на них (далее − субсидия) осуществляется департаментом дорожного хозяйства Ярославской области и мэрией города Ярославля путем определения степени достижения ожидаемых результатов, а также путем сравнения текущих значений результатов использования субсидии с плановыми значениями таких результатов.</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 xml:space="preserve">Комплексный показатель эффективности использования субсидии оценивается путем соотнесения степени достижения значений показателей результатов </w:t>
      </w:r>
      <w:r w:rsidRPr="006B4E8E">
        <w:rPr>
          <w:rFonts w:ascii="Times New Roman" w:hAnsi="Times New Roman" w:cs="Times New Roman"/>
          <w:sz w:val="28"/>
          <w:szCs w:val="28"/>
          <w:lang w:eastAsia="en-US"/>
        </w:rPr>
        <w:t>использования субсидии</w:t>
      </w:r>
      <w:r w:rsidRPr="006B4E8E">
        <w:rPr>
          <w:rFonts w:ascii="Times New Roman" w:hAnsi="Times New Roman" w:cs="Times New Roman"/>
          <w:sz w:val="28"/>
          <w:szCs w:val="28"/>
        </w:rPr>
        <w:t xml:space="preserve"> с уровнем финансирования </w:t>
      </w:r>
      <w:r w:rsidRPr="006B4E8E">
        <w:rPr>
          <w:rFonts w:ascii="Times New Roman" w:hAnsi="Times New Roman" w:cs="Times New Roman"/>
          <w:sz w:val="28"/>
          <w:szCs w:val="28"/>
          <w:lang w:eastAsia="en-US"/>
        </w:rPr>
        <w:t>субсидии</w:t>
      </w:r>
      <w:r w:rsidRPr="006B4E8E">
        <w:rPr>
          <w:rFonts w:ascii="Times New Roman" w:hAnsi="Times New Roman" w:cs="Times New Roman"/>
          <w:sz w:val="28"/>
          <w:szCs w:val="28"/>
        </w:rPr>
        <w:t xml:space="preserve"> с начала текущего финансового года. Комплексный показатель эффективности использования субсидии (R</w:t>
      </w:r>
      <w:r w:rsidRPr="006B4E8E">
        <w:rPr>
          <w:rFonts w:ascii="Times New Roman" w:hAnsi="Times New Roman" w:cs="Times New Roman"/>
          <w:sz w:val="28"/>
          <w:szCs w:val="28"/>
          <w:vertAlign w:val="subscript"/>
        </w:rPr>
        <w:t>комп.</w:t>
      </w:r>
      <w:r w:rsidRPr="006B4E8E">
        <w:rPr>
          <w:rFonts w:ascii="Times New Roman" w:hAnsi="Times New Roman" w:cs="Times New Roman"/>
          <w:sz w:val="28"/>
          <w:szCs w:val="28"/>
        </w:rPr>
        <w:t>) рассчитывается по формуле:</w:t>
      </w:r>
    </w:p>
    <w:p w:rsidR="00A5156B" w:rsidRPr="006B4E8E" w:rsidRDefault="00A5156B" w:rsidP="00A5156B">
      <w:pPr>
        <w:pStyle w:val="ConsPlusNormal"/>
        <w:jc w:val="both"/>
        <w:rPr>
          <w:rFonts w:ascii="Times New Roman" w:hAnsi="Times New Roman" w:cs="Times New Roman"/>
          <w:sz w:val="28"/>
          <w:szCs w:val="28"/>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26"/>
        <w:gridCol w:w="1555"/>
        <w:gridCol w:w="1843"/>
      </w:tblGrid>
      <w:tr w:rsidR="00A5156B" w:rsidRPr="006B4E8E" w:rsidTr="001F5FB3">
        <w:trPr>
          <w:jc w:val="center"/>
        </w:trPr>
        <w:tc>
          <w:tcPr>
            <w:tcW w:w="966" w:type="dxa"/>
            <w:vMerge w:val="restart"/>
            <w:vAlign w:val="center"/>
          </w:tcPr>
          <w:p w:rsidR="00A5156B" w:rsidRPr="006B4E8E" w:rsidRDefault="00A5156B" w:rsidP="001F5FB3">
            <w:pPr>
              <w:pStyle w:val="ConsPlusNormal"/>
              <w:ind w:right="-175"/>
              <w:jc w:val="center"/>
              <w:rPr>
                <w:rFonts w:ascii="Times New Roman" w:hAnsi="Times New Roman" w:cs="Times New Roman"/>
                <w:sz w:val="28"/>
                <w:szCs w:val="28"/>
              </w:rPr>
            </w:pPr>
            <w:r w:rsidRPr="006B4E8E">
              <w:rPr>
                <w:rFonts w:ascii="Times New Roman" w:hAnsi="Times New Roman" w:cs="Times New Roman"/>
                <w:sz w:val="28"/>
                <w:szCs w:val="28"/>
              </w:rPr>
              <w:t>R</w:t>
            </w:r>
            <w:r w:rsidRPr="006B4E8E">
              <w:rPr>
                <w:rFonts w:ascii="Times New Roman" w:hAnsi="Times New Roman" w:cs="Times New Roman"/>
                <w:sz w:val="28"/>
                <w:szCs w:val="28"/>
                <w:vertAlign w:val="subscript"/>
              </w:rPr>
              <w:t>комп.</w:t>
            </w:r>
          </w:p>
        </w:tc>
        <w:tc>
          <w:tcPr>
            <w:tcW w:w="326" w:type="dxa"/>
            <w:vMerge w:val="restart"/>
            <w:vAlign w:val="center"/>
          </w:tcPr>
          <w:p w:rsidR="00A5156B" w:rsidRPr="006B4E8E" w:rsidRDefault="00A5156B" w:rsidP="001F5FB3">
            <w:pPr>
              <w:pStyle w:val="ConsPlusNormal"/>
              <w:ind w:left="-250" w:right="-108"/>
              <w:jc w:val="center"/>
              <w:rPr>
                <w:rFonts w:ascii="Times New Roman" w:hAnsi="Times New Roman" w:cs="Times New Roman"/>
                <w:sz w:val="28"/>
                <w:szCs w:val="28"/>
                <w:lang w:val="en-US"/>
              </w:rPr>
            </w:pPr>
            <w:r w:rsidRPr="006B4E8E">
              <w:rPr>
                <w:rFonts w:ascii="Times New Roman" w:hAnsi="Times New Roman" w:cs="Times New Roman"/>
                <w:sz w:val="28"/>
                <w:szCs w:val="28"/>
                <w:lang w:val="en-US"/>
              </w:rPr>
              <w:t>=</w:t>
            </w:r>
          </w:p>
        </w:tc>
        <w:tc>
          <w:tcPr>
            <w:tcW w:w="1555" w:type="dxa"/>
            <w:tcBorders>
              <w:bottom w:val="single" w:sz="4" w:space="0" w:color="auto"/>
            </w:tcBorders>
          </w:tcPr>
          <w:p w:rsidR="00A5156B" w:rsidRPr="006B4E8E" w:rsidRDefault="00A5156B" w:rsidP="001F5FB3">
            <w:pPr>
              <w:pStyle w:val="ConsPlusNormal"/>
              <w:jc w:val="center"/>
              <w:rPr>
                <w:rFonts w:ascii="Times New Roman" w:hAnsi="Times New Roman" w:cs="Times New Roman"/>
                <w:sz w:val="28"/>
                <w:szCs w:val="28"/>
                <w:lang w:val="en-US"/>
              </w:rPr>
            </w:pPr>
            <w:r w:rsidRPr="006B4E8E">
              <w:rPr>
                <w:rFonts w:ascii="Times New Roman" w:hAnsi="Times New Roman" w:cs="Times New Roman"/>
                <w:sz w:val="28"/>
                <w:szCs w:val="28"/>
              </w:rPr>
              <w:t>∑ R</w:t>
            </w:r>
            <w:r w:rsidRPr="006B4E8E">
              <w:rPr>
                <w:rFonts w:ascii="Times New Roman" w:hAnsi="Times New Roman" w:cs="Times New Roman"/>
                <w:sz w:val="28"/>
                <w:szCs w:val="28"/>
                <w:vertAlign w:val="subscript"/>
              </w:rPr>
              <w:t>i</w:t>
            </w:r>
          </w:p>
        </w:tc>
        <w:tc>
          <w:tcPr>
            <w:tcW w:w="1843" w:type="dxa"/>
            <w:vMerge w:val="restart"/>
            <w:vAlign w:val="center"/>
          </w:tcPr>
          <w:p w:rsidR="00A5156B" w:rsidRPr="006B4E8E" w:rsidRDefault="00A5156B" w:rsidP="001F5FB3">
            <w:pPr>
              <w:pStyle w:val="ConsPlusNormal"/>
              <w:rPr>
                <w:rFonts w:ascii="Times New Roman" w:hAnsi="Times New Roman" w:cs="Times New Roman"/>
                <w:sz w:val="28"/>
                <w:szCs w:val="28"/>
              </w:rPr>
            </w:pPr>
            <w:r w:rsidRPr="006B4E8E">
              <w:rPr>
                <w:rFonts w:ascii="Times New Roman" w:hAnsi="Times New Roman" w:cs="Times New Roman"/>
                <w:sz w:val="28"/>
                <w:szCs w:val="28"/>
                <w:lang w:val="en-US"/>
              </w:rPr>
              <w:t xml:space="preserve">× 100 </w:t>
            </w:r>
            <w:r w:rsidRPr="006B4E8E">
              <w:rPr>
                <w:rFonts w:ascii="Times New Roman" w:hAnsi="Times New Roman" w:cs="Times New Roman"/>
                <w:sz w:val="28"/>
                <w:szCs w:val="28"/>
              </w:rPr>
              <w:t>% ,</w:t>
            </w:r>
          </w:p>
        </w:tc>
      </w:tr>
      <w:tr w:rsidR="00A5156B" w:rsidRPr="006B4E8E" w:rsidTr="001F5FB3">
        <w:trPr>
          <w:jc w:val="center"/>
        </w:trPr>
        <w:tc>
          <w:tcPr>
            <w:tcW w:w="966" w:type="dxa"/>
            <w:vMerge/>
          </w:tcPr>
          <w:p w:rsidR="00A5156B" w:rsidRPr="006B4E8E" w:rsidRDefault="00A5156B" w:rsidP="001F5FB3">
            <w:pPr>
              <w:pStyle w:val="ConsPlusNormal"/>
              <w:jc w:val="center"/>
              <w:rPr>
                <w:rFonts w:ascii="Times New Roman" w:hAnsi="Times New Roman" w:cs="Times New Roman"/>
                <w:sz w:val="28"/>
                <w:szCs w:val="28"/>
                <w:lang w:val="en-US"/>
              </w:rPr>
            </w:pPr>
          </w:p>
        </w:tc>
        <w:tc>
          <w:tcPr>
            <w:tcW w:w="326" w:type="dxa"/>
            <w:vMerge/>
          </w:tcPr>
          <w:p w:rsidR="00A5156B" w:rsidRPr="006B4E8E" w:rsidRDefault="00A5156B" w:rsidP="001F5FB3">
            <w:pPr>
              <w:pStyle w:val="ConsPlusNormal"/>
              <w:jc w:val="center"/>
              <w:rPr>
                <w:rFonts w:ascii="Times New Roman" w:hAnsi="Times New Roman" w:cs="Times New Roman"/>
                <w:sz w:val="28"/>
                <w:szCs w:val="28"/>
                <w:lang w:val="en-US"/>
              </w:rPr>
            </w:pPr>
          </w:p>
        </w:tc>
        <w:tc>
          <w:tcPr>
            <w:tcW w:w="1555" w:type="dxa"/>
            <w:tcBorders>
              <w:top w:val="single" w:sz="4" w:space="0" w:color="auto"/>
            </w:tcBorders>
          </w:tcPr>
          <w:p w:rsidR="00A5156B" w:rsidRPr="006B4E8E" w:rsidRDefault="00A5156B" w:rsidP="001F5FB3">
            <w:pPr>
              <w:pStyle w:val="ConsPlusNormal"/>
              <w:ind w:right="-174"/>
              <w:jc w:val="center"/>
              <w:rPr>
                <w:rFonts w:ascii="Times New Roman" w:hAnsi="Times New Roman" w:cs="Times New Roman"/>
                <w:sz w:val="28"/>
                <w:szCs w:val="28"/>
                <w:lang w:val="en-US"/>
              </w:rPr>
            </w:pPr>
            <w:r w:rsidRPr="006B4E8E">
              <w:rPr>
                <w:rFonts w:ascii="Times New Roman" w:hAnsi="Times New Roman" w:cs="Times New Roman"/>
                <w:sz w:val="28"/>
                <w:szCs w:val="28"/>
              </w:rPr>
              <w:t>F</w:t>
            </w:r>
            <w:r w:rsidRPr="006B4E8E">
              <w:rPr>
                <w:rFonts w:ascii="Times New Roman" w:hAnsi="Times New Roman" w:cs="Times New Roman"/>
                <w:sz w:val="28"/>
                <w:szCs w:val="28"/>
                <w:vertAlign w:val="subscript"/>
              </w:rPr>
              <w:t xml:space="preserve">тек. </w:t>
            </w:r>
            <w:r w:rsidRPr="006B4E8E">
              <w:rPr>
                <w:rFonts w:ascii="Times New Roman" w:hAnsi="Times New Roman" w:cs="Times New Roman"/>
                <w:sz w:val="28"/>
                <w:szCs w:val="28"/>
                <w:lang w:val="en-US"/>
              </w:rPr>
              <w:t>/</w:t>
            </w:r>
            <w:r w:rsidRPr="006B4E8E">
              <w:rPr>
                <w:rFonts w:ascii="Times New Roman" w:hAnsi="Times New Roman" w:cs="Times New Roman"/>
                <w:sz w:val="28"/>
                <w:szCs w:val="28"/>
              </w:rPr>
              <w:t xml:space="preserve"> F</w:t>
            </w:r>
            <w:r w:rsidRPr="006B4E8E">
              <w:rPr>
                <w:rFonts w:ascii="Times New Roman" w:hAnsi="Times New Roman" w:cs="Times New Roman"/>
                <w:sz w:val="28"/>
                <w:szCs w:val="28"/>
                <w:vertAlign w:val="subscript"/>
              </w:rPr>
              <w:t>план.</w:t>
            </w:r>
          </w:p>
        </w:tc>
        <w:tc>
          <w:tcPr>
            <w:tcW w:w="1843" w:type="dxa"/>
            <w:vMerge/>
          </w:tcPr>
          <w:p w:rsidR="00A5156B" w:rsidRPr="006B4E8E" w:rsidRDefault="00A5156B" w:rsidP="001F5FB3">
            <w:pPr>
              <w:pStyle w:val="ConsPlusNormal"/>
              <w:jc w:val="center"/>
              <w:rPr>
                <w:rFonts w:ascii="Times New Roman" w:hAnsi="Times New Roman" w:cs="Times New Roman"/>
                <w:sz w:val="28"/>
                <w:szCs w:val="28"/>
                <w:lang w:val="en-US"/>
              </w:rPr>
            </w:pPr>
          </w:p>
        </w:tc>
      </w:tr>
    </w:tbl>
    <w:p w:rsidR="00A5156B" w:rsidRPr="006B4E8E" w:rsidRDefault="00A5156B" w:rsidP="00A5156B">
      <w:pPr>
        <w:pStyle w:val="ConsPlusNormal"/>
        <w:jc w:val="both"/>
        <w:rPr>
          <w:rFonts w:ascii="Times New Roman" w:hAnsi="Times New Roman" w:cs="Times New Roman"/>
          <w:sz w:val="28"/>
          <w:szCs w:val="28"/>
        </w:rPr>
      </w:pPr>
      <w:r w:rsidRPr="006B4E8E">
        <w:rPr>
          <w:rFonts w:ascii="Times New Roman" w:hAnsi="Times New Roman" w:cs="Times New Roman"/>
          <w:sz w:val="28"/>
          <w:szCs w:val="28"/>
        </w:rPr>
        <w:t>где:</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 R</w:t>
      </w:r>
      <w:r w:rsidRPr="006B4E8E">
        <w:rPr>
          <w:rFonts w:ascii="Times New Roman" w:hAnsi="Times New Roman" w:cs="Times New Roman"/>
          <w:sz w:val="28"/>
          <w:szCs w:val="28"/>
          <w:vertAlign w:val="subscript"/>
        </w:rPr>
        <w:t>i</w:t>
      </w:r>
      <w:r w:rsidRPr="006B4E8E">
        <w:rPr>
          <w:rFonts w:ascii="Times New Roman" w:hAnsi="Times New Roman" w:cs="Times New Roman"/>
          <w:sz w:val="28"/>
          <w:szCs w:val="28"/>
        </w:rPr>
        <w:t xml:space="preserve"> – сумма результативности использования субсидии;</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F</w:t>
      </w:r>
      <w:r w:rsidRPr="006B4E8E">
        <w:rPr>
          <w:rFonts w:ascii="Times New Roman" w:hAnsi="Times New Roman" w:cs="Times New Roman"/>
          <w:sz w:val="28"/>
          <w:szCs w:val="28"/>
          <w:vertAlign w:val="subscript"/>
        </w:rPr>
        <w:t>тек.</w:t>
      </w:r>
      <w:r w:rsidRPr="006B4E8E">
        <w:rPr>
          <w:rFonts w:ascii="Times New Roman" w:hAnsi="Times New Roman" w:cs="Times New Roman"/>
          <w:sz w:val="28"/>
          <w:szCs w:val="28"/>
        </w:rPr>
        <w:t xml:space="preserve"> – сумма предоставленной субсидии на отчетную дату;</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F</w:t>
      </w:r>
      <w:r w:rsidRPr="006B4E8E">
        <w:rPr>
          <w:rFonts w:ascii="Times New Roman" w:hAnsi="Times New Roman" w:cs="Times New Roman"/>
          <w:sz w:val="28"/>
          <w:szCs w:val="28"/>
          <w:vertAlign w:val="subscript"/>
        </w:rPr>
        <w:t>план.</w:t>
      </w:r>
      <w:r w:rsidRPr="006B4E8E">
        <w:rPr>
          <w:rFonts w:ascii="Times New Roman" w:hAnsi="Times New Roman" w:cs="Times New Roman"/>
          <w:sz w:val="28"/>
          <w:szCs w:val="28"/>
        </w:rPr>
        <w:t xml:space="preserve"> – плановая сумма предоставления субсидии.</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Результативность использования субсидии (</w:t>
      </w:r>
      <w:r w:rsidRPr="006B4E8E">
        <w:rPr>
          <w:rFonts w:ascii="Times New Roman" w:hAnsi="Times New Roman" w:cs="Times New Roman"/>
          <w:sz w:val="28"/>
          <w:szCs w:val="28"/>
          <w:lang w:val="en-US"/>
        </w:rPr>
        <w:t>R</w:t>
      </w:r>
      <w:r w:rsidRPr="006B4E8E">
        <w:rPr>
          <w:rFonts w:ascii="Times New Roman" w:hAnsi="Times New Roman" w:cs="Times New Roman"/>
          <w:sz w:val="28"/>
          <w:szCs w:val="28"/>
          <w:vertAlign w:val="subscript"/>
          <w:lang w:val="en-US"/>
        </w:rPr>
        <w:t>i</w:t>
      </w:r>
      <w:r w:rsidRPr="006B4E8E">
        <w:rPr>
          <w:rFonts w:ascii="Times New Roman" w:hAnsi="Times New Roman" w:cs="Times New Roman"/>
          <w:sz w:val="28"/>
          <w:szCs w:val="28"/>
        </w:rPr>
        <w:t>) рассчитывается по формуле:</w:t>
      </w:r>
    </w:p>
    <w:p w:rsidR="00A5156B" w:rsidRPr="006B4E8E" w:rsidRDefault="00A5156B" w:rsidP="00A5156B">
      <w:pPr>
        <w:pStyle w:val="ConsPlusNormal"/>
        <w:ind w:firstLine="709"/>
        <w:jc w:val="both"/>
        <w:rPr>
          <w:rFonts w:ascii="Times New Roman" w:hAnsi="Times New Roman" w:cs="Times New Roman"/>
          <w:sz w:val="28"/>
          <w:szCs w:val="28"/>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72"/>
        <w:gridCol w:w="453"/>
        <w:gridCol w:w="1091"/>
        <w:gridCol w:w="381"/>
      </w:tblGrid>
      <w:tr w:rsidR="00A5156B" w:rsidRPr="006B4E8E" w:rsidTr="001F5FB3">
        <w:trPr>
          <w:jc w:val="center"/>
        </w:trPr>
        <w:tc>
          <w:tcPr>
            <w:tcW w:w="966" w:type="dxa"/>
            <w:vMerge w:val="restart"/>
            <w:vAlign w:val="center"/>
          </w:tcPr>
          <w:p w:rsidR="00A5156B" w:rsidRPr="006B4E8E" w:rsidRDefault="00A5156B" w:rsidP="001F5FB3">
            <w:pPr>
              <w:pStyle w:val="ConsPlusNormal"/>
              <w:ind w:right="-175"/>
              <w:jc w:val="center"/>
              <w:rPr>
                <w:rFonts w:ascii="Times New Roman" w:hAnsi="Times New Roman" w:cs="Times New Roman"/>
                <w:sz w:val="28"/>
                <w:szCs w:val="28"/>
              </w:rPr>
            </w:pPr>
            <w:r w:rsidRPr="006B4E8E">
              <w:rPr>
                <w:rFonts w:ascii="Times New Roman" w:hAnsi="Times New Roman" w:cs="Times New Roman"/>
                <w:sz w:val="28"/>
                <w:szCs w:val="28"/>
              </w:rPr>
              <w:t>R</w:t>
            </w:r>
            <w:r w:rsidRPr="006B4E8E">
              <w:rPr>
                <w:rFonts w:ascii="Times New Roman" w:hAnsi="Times New Roman" w:cs="Times New Roman"/>
                <w:sz w:val="28"/>
                <w:szCs w:val="28"/>
                <w:vertAlign w:val="subscript"/>
                <w:lang w:val="en-US"/>
              </w:rPr>
              <w:t>i</w:t>
            </w:r>
          </w:p>
        </w:tc>
        <w:tc>
          <w:tcPr>
            <w:tcW w:w="372" w:type="dxa"/>
            <w:vMerge w:val="restart"/>
            <w:vAlign w:val="center"/>
          </w:tcPr>
          <w:p w:rsidR="00A5156B" w:rsidRPr="006B4E8E" w:rsidRDefault="00A5156B" w:rsidP="001F5FB3">
            <w:pPr>
              <w:pStyle w:val="ConsPlusNormal"/>
              <w:ind w:left="-250" w:right="-108"/>
              <w:jc w:val="center"/>
              <w:rPr>
                <w:rFonts w:ascii="Times New Roman" w:hAnsi="Times New Roman" w:cs="Times New Roman"/>
                <w:sz w:val="28"/>
                <w:szCs w:val="28"/>
                <w:lang w:val="en-US"/>
              </w:rPr>
            </w:pPr>
            <w:r w:rsidRPr="006B4E8E">
              <w:rPr>
                <w:rFonts w:ascii="Times New Roman" w:hAnsi="Times New Roman" w:cs="Times New Roman"/>
                <w:sz w:val="28"/>
                <w:szCs w:val="28"/>
                <w:lang w:val="en-US"/>
              </w:rPr>
              <w:t>=</w:t>
            </w:r>
          </w:p>
        </w:tc>
        <w:tc>
          <w:tcPr>
            <w:tcW w:w="453" w:type="dxa"/>
            <w:vMerge w:val="restart"/>
            <w:vAlign w:val="center"/>
          </w:tcPr>
          <w:p w:rsidR="00A5156B" w:rsidRPr="006B4E8E" w:rsidRDefault="00A5156B" w:rsidP="001F5FB3">
            <w:pPr>
              <w:pStyle w:val="ConsPlusNormal"/>
              <w:ind w:left="-112" w:right="-149"/>
              <w:jc w:val="center"/>
              <w:rPr>
                <w:rFonts w:ascii="Times New Roman" w:hAnsi="Times New Roman" w:cs="Times New Roman"/>
                <w:sz w:val="28"/>
                <w:szCs w:val="28"/>
                <w:lang w:val="en-US"/>
              </w:rPr>
            </w:pPr>
            <w:r w:rsidRPr="006B4E8E">
              <w:rPr>
                <w:rFonts w:ascii="Times New Roman" w:hAnsi="Times New Roman" w:cs="Times New Roman"/>
                <w:sz w:val="28"/>
                <w:szCs w:val="28"/>
                <w:lang w:val="en-US"/>
              </w:rPr>
              <w:t>K</w:t>
            </w:r>
            <w:r w:rsidRPr="006B4E8E">
              <w:rPr>
                <w:rFonts w:ascii="Times New Roman" w:hAnsi="Times New Roman" w:cs="Times New Roman"/>
                <w:sz w:val="28"/>
                <w:szCs w:val="28"/>
                <w:vertAlign w:val="subscript"/>
                <w:lang w:val="en-US"/>
              </w:rPr>
              <w:t>i</w:t>
            </w:r>
          </w:p>
        </w:tc>
        <w:tc>
          <w:tcPr>
            <w:tcW w:w="1091" w:type="dxa"/>
            <w:tcBorders>
              <w:bottom w:val="single" w:sz="4" w:space="0" w:color="auto"/>
            </w:tcBorders>
          </w:tcPr>
          <w:p w:rsidR="00A5156B" w:rsidRPr="006B4E8E" w:rsidRDefault="00A5156B" w:rsidP="001F5FB3">
            <w:pPr>
              <w:pStyle w:val="ConsPlusNormal"/>
              <w:jc w:val="center"/>
              <w:rPr>
                <w:rFonts w:ascii="Times New Roman" w:hAnsi="Times New Roman" w:cs="Times New Roman"/>
                <w:sz w:val="28"/>
                <w:szCs w:val="28"/>
              </w:rPr>
            </w:pPr>
            <w:r w:rsidRPr="006B4E8E">
              <w:rPr>
                <w:rFonts w:ascii="Times New Roman" w:hAnsi="Times New Roman" w:cs="Times New Roman"/>
                <w:sz w:val="28"/>
                <w:szCs w:val="28"/>
                <w:lang w:val="en-US"/>
              </w:rPr>
              <w:t>X</w:t>
            </w:r>
            <w:r w:rsidRPr="006B4E8E">
              <w:rPr>
                <w:rFonts w:ascii="Times New Roman" w:hAnsi="Times New Roman" w:cs="Times New Roman"/>
                <w:sz w:val="28"/>
                <w:szCs w:val="28"/>
                <w:vertAlign w:val="subscript"/>
                <w:lang w:val="en-US"/>
              </w:rPr>
              <w:t>i</w:t>
            </w:r>
            <w:r w:rsidRPr="006B4E8E">
              <w:rPr>
                <w:rFonts w:ascii="Times New Roman" w:hAnsi="Times New Roman" w:cs="Times New Roman"/>
                <w:sz w:val="28"/>
                <w:szCs w:val="28"/>
              </w:rPr>
              <w:t xml:space="preserve"> </w:t>
            </w:r>
            <w:r w:rsidRPr="006B4E8E">
              <w:rPr>
                <w:rFonts w:ascii="Times New Roman" w:hAnsi="Times New Roman" w:cs="Times New Roman"/>
                <w:sz w:val="28"/>
                <w:szCs w:val="28"/>
                <w:vertAlign w:val="subscript"/>
              </w:rPr>
              <w:t>тек.</w:t>
            </w:r>
          </w:p>
        </w:tc>
        <w:tc>
          <w:tcPr>
            <w:tcW w:w="381" w:type="dxa"/>
            <w:vMerge w:val="restart"/>
            <w:vAlign w:val="center"/>
          </w:tcPr>
          <w:p w:rsidR="00A5156B" w:rsidRPr="006B4E8E" w:rsidRDefault="00A5156B" w:rsidP="001F5FB3">
            <w:pPr>
              <w:pStyle w:val="ConsPlusNormal"/>
              <w:ind w:left="-82"/>
              <w:rPr>
                <w:rFonts w:ascii="Times New Roman" w:hAnsi="Times New Roman" w:cs="Times New Roman"/>
                <w:sz w:val="28"/>
                <w:szCs w:val="28"/>
              </w:rPr>
            </w:pPr>
            <w:r w:rsidRPr="006B4E8E">
              <w:rPr>
                <w:rFonts w:ascii="Times New Roman" w:hAnsi="Times New Roman" w:cs="Times New Roman"/>
                <w:sz w:val="28"/>
                <w:szCs w:val="28"/>
              </w:rPr>
              <w:t>,</w:t>
            </w:r>
          </w:p>
        </w:tc>
      </w:tr>
      <w:tr w:rsidR="00A5156B" w:rsidRPr="006B4E8E" w:rsidTr="001F5FB3">
        <w:trPr>
          <w:jc w:val="center"/>
        </w:trPr>
        <w:tc>
          <w:tcPr>
            <w:tcW w:w="966" w:type="dxa"/>
            <w:vMerge/>
          </w:tcPr>
          <w:p w:rsidR="00A5156B" w:rsidRPr="006B4E8E" w:rsidRDefault="00A5156B" w:rsidP="001F5FB3">
            <w:pPr>
              <w:pStyle w:val="ConsPlusNormal"/>
              <w:jc w:val="center"/>
              <w:rPr>
                <w:rFonts w:ascii="Times New Roman" w:hAnsi="Times New Roman" w:cs="Times New Roman"/>
                <w:sz w:val="28"/>
                <w:szCs w:val="28"/>
                <w:lang w:val="en-US"/>
              </w:rPr>
            </w:pPr>
          </w:p>
        </w:tc>
        <w:tc>
          <w:tcPr>
            <w:tcW w:w="372" w:type="dxa"/>
            <w:vMerge/>
          </w:tcPr>
          <w:p w:rsidR="00A5156B" w:rsidRPr="006B4E8E" w:rsidRDefault="00A5156B" w:rsidP="001F5FB3">
            <w:pPr>
              <w:pStyle w:val="ConsPlusNormal"/>
              <w:jc w:val="center"/>
              <w:rPr>
                <w:rFonts w:ascii="Times New Roman" w:hAnsi="Times New Roman" w:cs="Times New Roman"/>
                <w:sz w:val="28"/>
                <w:szCs w:val="28"/>
                <w:lang w:val="en-US"/>
              </w:rPr>
            </w:pPr>
          </w:p>
        </w:tc>
        <w:tc>
          <w:tcPr>
            <w:tcW w:w="453" w:type="dxa"/>
            <w:vMerge/>
          </w:tcPr>
          <w:p w:rsidR="00A5156B" w:rsidRPr="006B4E8E" w:rsidRDefault="00A5156B" w:rsidP="001F5FB3">
            <w:pPr>
              <w:pStyle w:val="ConsPlusNormal"/>
              <w:ind w:right="-174"/>
              <w:jc w:val="center"/>
              <w:rPr>
                <w:rFonts w:ascii="Times New Roman" w:hAnsi="Times New Roman" w:cs="Times New Roman"/>
                <w:sz w:val="28"/>
                <w:szCs w:val="28"/>
              </w:rPr>
            </w:pPr>
          </w:p>
        </w:tc>
        <w:tc>
          <w:tcPr>
            <w:tcW w:w="1091" w:type="dxa"/>
            <w:tcBorders>
              <w:top w:val="single" w:sz="4" w:space="0" w:color="auto"/>
            </w:tcBorders>
          </w:tcPr>
          <w:p w:rsidR="00A5156B" w:rsidRPr="006B4E8E" w:rsidRDefault="00A5156B" w:rsidP="001F5FB3">
            <w:pPr>
              <w:pStyle w:val="ConsPlusNormal"/>
              <w:ind w:right="-174"/>
              <w:jc w:val="center"/>
              <w:rPr>
                <w:rFonts w:ascii="Times New Roman" w:hAnsi="Times New Roman" w:cs="Times New Roman"/>
                <w:sz w:val="28"/>
                <w:szCs w:val="28"/>
                <w:lang w:val="en-US"/>
              </w:rPr>
            </w:pPr>
            <w:r w:rsidRPr="006B4E8E">
              <w:rPr>
                <w:rFonts w:ascii="Times New Roman" w:hAnsi="Times New Roman" w:cs="Times New Roman"/>
                <w:sz w:val="28"/>
                <w:szCs w:val="28"/>
                <w:lang w:val="en-US"/>
              </w:rPr>
              <w:t>X</w:t>
            </w:r>
            <w:r w:rsidRPr="006B4E8E">
              <w:rPr>
                <w:rFonts w:ascii="Times New Roman" w:hAnsi="Times New Roman" w:cs="Times New Roman"/>
                <w:sz w:val="28"/>
                <w:szCs w:val="28"/>
                <w:vertAlign w:val="subscript"/>
                <w:lang w:val="en-US"/>
              </w:rPr>
              <w:t>i</w:t>
            </w:r>
            <w:r w:rsidRPr="006B4E8E">
              <w:rPr>
                <w:rFonts w:ascii="Times New Roman" w:hAnsi="Times New Roman" w:cs="Times New Roman"/>
                <w:sz w:val="28"/>
                <w:szCs w:val="28"/>
                <w:lang w:val="en-US"/>
              </w:rPr>
              <w:t xml:space="preserve"> </w:t>
            </w:r>
            <w:r w:rsidRPr="006B4E8E">
              <w:rPr>
                <w:rFonts w:ascii="Times New Roman" w:hAnsi="Times New Roman" w:cs="Times New Roman"/>
                <w:sz w:val="28"/>
                <w:szCs w:val="28"/>
                <w:vertAlign w:val="subscript"/>
              </w:rPr>
              <w:t>план.</w:t>
            </w:r>
          </w:p>
        </w:tc>
        <w:tc>
          <w:tcPr>
            <w:tcW w:w="381" w:type="dxa"/>
            <w:vMerge/>
          </w:tcPr>
          <w:p w:rsidR="00A5156B" w:rsidRPr="006B4E8E" w:rsidRDefault="00A5156B" w:rsidP="001F5FB3">
            <w:pPr>
              <w:pStyle w:val="ConsPlusNormal"/>
              <w:ind w:right="-174"/>
              <w:jc w:val="center"/>
              <w:rPr>
                <w:rFonts w:ascii="Times New Roman" w:hAnsi="Times New Roman" w:cs="Times New Roman"/>
                <w:sz w:val="28"/>
                <w:szCs w:val="28"/>
                <w:lang w:val="en-US"/>
              </w:rPr>
            </w:pPr>
          </w:p>
        </w:tc>
      </w:tr>
    </w:tbl>
    <w:p w:rsidR="00A5156B" w:rsidRPr="006B4E8E" w:rsidRDefault="00A5156B" w:rsidP="00A5156B">
      <w:pPr>
        <w:pStyle w:val="ConsPlusNormal"/>
        <w:jc w:val="both"/>
        <w:rPr>
          <w:rFonts w:ascii="Times New Roman" w:hAnsi="Times New Roman" w:cs="Times New Roman"/>
          <w:sz w:val="28"/>
          <w:szCs w:val="28"/>
        </w:rPr>
      </w:pPr>
      <w:r w:rsidRPr="006B4E8E">
        <w:rPr>
          <w:rFonts w:ascii="Times New Roman" w:hAnsi="Times New Roman" w:cs="Times New Roman"/>
          <w:sz w:val="28"/>
          <w:szCs w:val="28"/>
        </w:rPr>
        <w:t>где:</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К</w:t>
      </w:r>
      <w:r w:rsidRPr="006B4E8E">
        <w:rPr>
          <w:rFonts w:ascii="Times New Roman" w:hAnsi="Times New Roman" w:cs="Times New Roman"/>
          <w:sz w:val="28"/>
          <w:szCs w:val="28"/>
          <w:vertAlign w:val="subscript"/>
        </w:rPr>
        <w:t>i</w:t>
      </w:r>
      <w:r w:rsidRPr="006B4E8E">
        <w:rPr>
          <w:rFonts w:ascii="Times New Roman" w:hAnsi="Times New Roman" w:cs="Times New Roman"/>
          <w:sz w:val="28"/>
          <w:szCs w:val="28"/>
        </w:rPr>
        <w:t xml:space="preserve"> – весовой коэффициент i-го</w:t>
      </w:r>
      <w:r w:rsidRPr="006B4E8E" w:rsidDel="003417BD">
        <w:rPr>
          <w:rFonts w:ascii="Times New Roman" w:hAnsi="Times New Roman" w:cs="Times New Roman"/>
          <w:sz w:val="28"/>
          <w:szCs w:val="28"/>
        </w:rPr>
        <w:t xml:space="preserve"> </w:t>
      </w:r>
      <w:r w:rsidRPr="006B4E8E">
        <w:rPr>
          <w:rFonts w:ascii="Times New Roman" w:hAnsi="Times New Roman" w:cs="Times New Roman"/>
          <w:sz w:val="28"/>
          <w:szCs w:val="28"/>
        </w:rPr>
        <w:t>объекта, финансируемого за счет субсидии (в сумме всех объектов равен 1);</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X</w:t>
      </w:r>
      <w:r w:rsidRPr="006B4E8E">
        <w:rPr>
          <w:rFonts w:ascii="Times New Roman" w:hAnsi="Times New Roman" w:cs="Times New Roman"/>
          <w:sz w:val="28"/>
          <w:szCs w:val="28"/>
          <w:vertAlign w:val="subscript"/>
        </w:rPr>
        <w:t xml:space="preserve">i тек. </w:t>
      </w:r>
      <w:r w:rsidRPr="006B4E8E">
        <w:rPr>
          <w:rFonts w:ascii="Times New Roman" w:hAnsi="Times New Roman" w:cs="Times New Roman"/>
          <w:sz w:val="28"/>
          <w:szCs w:val="28"/>
        </w:rPr>
        <w:t xml:space="preserve">– значение i-го показателя </w:t>
      </w:r>
      <w:r w:rsidRPr="006B4E8E">
        <w:rPr>
          <w:rFonts w:ascii="Times New Roman" w:hAnsi="Times New Roman" w:cs="Times New Roman"/>
          <w:sz w:val="28"/>
          <w:szCs w:val="28"/>
          <w:lang w:eastAsia="en-US"/>
        </w:rPr>
        <w:t>результата использования субсидии</w:t>
      </w:r>
      <w:r w:rsidRPr="006B4E8E">
        <w:rPr>
          <w:rFonts w:ascii="Times New Roman" w:hAnsi="Times New Roman" w:cs="Times New Roman"/>
          <w:sz w:val="28"/>
          <w:szCs w:val="28"/>
        </w:rPr>
        <w:t xml:space="preserve"> на текущую дату;</w:t>
      </w:r>
    </w:p>
    <w:p w:rsidR="00A5156B" w:rsidRPr="006B4E8E" w:rsidRDefault="00A5156B" w:rsidP="00A5156B">
      <w:pPr>
        <w:pStyle w:val="ConsPlusNormal"/>
        <w:widowControl/>
        <w:ind w:firstLine="709"/>
        <w:jc w:val="both"/>
        <w:rPr>
          <w:rFonts w:ascii="Times New Roman" w:hAnsi="Times New Roman" w:cs="Times New Roman"/>
          <w:sz w:val="28"/>
          <w:szCs w:val="28"/>
        </w:rPr>
      </w:pPr>
      <w:r w:rsidRPr="006B4E8E">
        <w:rPr>
          <w:rFonts w:ascii="Times New Roman" w:hAnsi="Times New Roman" w:cs="Times New Roman"/>
          <w:sz w:val="28"/>
          <w:szCs w:val="28"/>
        </w:rPr>
        <w:lastRenderedPageBreak/>
        <w:t>X</w:t>
      </w:r>
      <w:r w:rsidRPr="006B4E8E">
        <w:rPr>
          <w:rFonts w:ascii="Times New Roman" w:hAnsi="Times New Roman" w:cs="Times New Roman"/>
          <w:sz w:val="28"/>
          <w:szCs w:val="28"/>
          <w:vertAlign w:val="subscript"/>
        </w:rPr>
        <w:t xml:space="preserve">i план. </w:t>
      </w:r>
      <w:r w:rsidRPr="006B4E8E">
        <w:rPr>
          <w:rFonts w:ascii="Times New Roman" w:hAnsi="Times New Roman" w:cs="Times New Roman"/>
          <w:sz w:val="28"/>
          <w:szCs w:val="28"/>
        </w:rPr>
        <w:t xml:space="preserve">– плановое значение i-го показателя </w:t>
      </w:r>
      <w:r w:rsidRPr="006B4E8E">
        <w:rPr>
          <w:rFonts w:ascii="Times New Roman" w:hAnsi="Times New Roman" w:cs="Times New Roman"/>
          <w:sz w:val="28"/>
          <w:szCs w:val="28"/>
          <w:lang w:eastAsia="en-US"/>
        </w:rPr>
        <w:t>результата использования субсидии</w:t>
      </w:r>
      <w:r w:rsidRPr="006B4E8E">
        <w:rPr>
          <w:rFonts w:ascii="Times New Roman" w:hAnsi="Times New Roman" w:cs="Times New Roman"/>
          <w:sz w:val="28"/>
          <w:szCs w:val="28"/>
        </w:rPr>
        <w:t>, запланированного к выполнению.</w:t>
      </w:r>
    </w:p>
    <w:p w:rsidR="00A5156B" w:rsidRPr="006B4E8E" w:rsidRDefault="00A5156B" w:rsidP="00A5156B">
      <w:pPr>
        <w:pStyle w:val="ConsPlusNormal"/>
        <w:ind w:firstLine="709"/>
        <w:jc w:val="both"/>
        <w:rPr>
          <w:rFonts w:ascii="Times New Roman" w:hAnsi="Times New Roman" w:cs="Times New Roman"/>
          <w:sz w:val="28"/>
          <w:szCs w:val="28"/>
        </w:rPr>
      </w:pPr>
      <w:r w:rsidRPr="006B4E8E">
        <w:rPr>
          <w:rFonts w:ascii="Times New Roman" w:hAnsi="Times New Roman" w:cs="Times New Roman"/>
          <w:sz w:val="28"/>
          <w:szCs w:val="28"/>
        </w:rPr>
        <w:t>При расчете комплексного показателя эффективности использования субсидии используются следующие результаты использования субсидии:</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lang w:eastAsia="en-US"/>
        </w:rPr>
      </w:pPr>
      <w:r w:rsidRPr="006B4E8E">
        <w:rPr>
          <w:rFonts w:ascii="Times New Roman" w:hAnsi="Times New Roman" w:cs="Times New Roman"/>
          <w:sz w:val="28"/>
          <w:szCs w:val="28"/>
        </w:rPr>
        <w:t>- </w:t>
      </w:r>
      <w:r w:rsidRPr="006B4E8E">
        <w:rPr>
          <w:rFonts w:ascii="Times New Roman" w:hAnsi="Times New Roman" w:cs="Times New Roman"/>
          <w:sz w:val="28"/>
          <w:szCs w:val="28"/>
          <w:lang w:eastAsia="en-US"/>
        </w:rPr>
        <w:t xml:space="preserve">площадь автомобильных дорог общего пользования местного значения, в отношении которых осуществлялись работы по содержанию (квадратных метров); </w:t>
      </w:r>
    </w:p>
    <w:p w:rsidR="00A5156B" w:rsidRPr="006B4E8E" w:rsidRDefault="00A5156B" w:rsidP="00A5156B">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6B4E8E">
        <w:rPr>
          <w:rFonts w:ascii="Times New Roman" w:hAnsi="Times New Roman" w:cs="Times New Roman"/>
          <w:sz w:val="28"/>
          <w:szCs w:val="28"/>
          <w:lang w:eastAsia="en-US"/>
        </w:rPr>
        <w:t>- протяженность искусственных сооружений на автомобильных дорогах общего пользования местного значения, в отношении которых осуществлялись работы по содержанию (погонных метров).</w:t>
      </w:r>
    </w:p>
    <w:p w:rsidR="00A5156B" w:rsidRPr="006B4E8E" w:rsidRDefault="00A5156B" w:rsidP="00A5156B">
      <w:pPr>
        <w:pStyle w:val="ConsPlusNormal"/>
        <w:tabs>
          <w:tab w:val="left" w:pos="709"/>
        </w:tabs>
        <w:ind w:firstLine="709"/>
        <w:jc w:val="both"/>
        <w:rPr>
          <w:rFonts w:ascii="Times New Roman" w:hAnsi="Times New Roman" w:cs="Times New Roman"/>
          <w:sz w:val="28"/>
          <w:szCs w:val="28"/>
        </w:rPr>
      </w:pPr>
      <w:r w:rsidRPr="006B4E8E">
        <w:rPr>
          <w:rFonts w:ascii="Times New Roman" w:hAnsi="Times New Roman" w:cs="Times New Roman"/>
          <w:sz w:val="28"/>
          <w:szCs w:val="28"/>
        </w:rPr>
        <w:t>При значении комплексного показателя эффективности использования субсидии 90 процентов и более эффективность использования субсидии признается высокой, при значении до 90 процентов – низкой.</w:t>
      </w:r>
    </w:p>
    <w:p w:rsidR="00D66BDE" w:rsidRPr="006B4E8E" w:rsidRDefault="00D66BDE">
      <w:pPr>
        <w:rPr>
          <w:szCs w:val="28"/>
        </w:rPr>
      </w:pPr>
    </w:p>
    <w:sectPr w:rsidR="00D66BDE" w:rsidRPr="006B4E8E" w:rsidSect="00D66B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0A0" w:rsidRDefault="002540A0" w:rsidP="00D415DC">
      <w:r>
        <w:separator/>
      </w:r>
    </w:p>
  </w:endnote>
  <w:endnote w:type="continuationSeparator" w:id="0">
    <w:p w:rsidR="002540A0" w:rsidRDefault="002540A0" w:rsidP="00D4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0A0" w:rsidRDefault="002540A0" w:rsidP="00D415DC">
      <w:r>
        <w:separator/>
      </w:r>
    </w:p>
  </w:footnote>
  <w:footnote w:type="continuationSeparator" w:id="0">
    <w:p w:rsidR="002540A0" w:rsidRDefault="002540A0" w:rsidP="00D41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017275"/>
    </w:sdtPr>
    <w:sdtEndPr/>
    <w:sdtContent>
      <w:p w:rsidR="00D415DC" w:rsidRDefault="00561000" w:rsidP="00C13E42">
        <w:pPr>
          <w:pStyle w:val="a7"/>
          <w:jc w:val="center"/>
        </w:pPr>
        <w:r>
          <w:fldChar w:fldCharType="begin"/>
        </w:r>
        <w:r w:rsidR="00D415DC">
          <w:instrText>PAGE   \* MERGEFORMAT</w:instrText>
        </w:r>
        <w:r>
          <w:fldChar w:fldCharType="separate"/>
        </w:r>
        <w:r w:rsidR="000678AA">
          <w:rPr>
            <w:noProof/>
          </w:rPr>
          <w:t>9</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56B"/>
    <w:rsid w:val="0000152B"/>
    <w:rsid w:val="00002142"/>
    <w:rsid w:val="00002F83"/>
    <w:rsid w:val="00006430"/>
    <w:rsid w:val="00013B48"/>
    <w:rsid w:val="00015333"/>
    <w:rsid w:val="000155F8"/>
    <w:rsid w:val="000178CD"/>
    <w:rsid w:val="000215CC"/>
    <w:rsid w:val="00022C0B"/>
    <w:rsid w:val="000247FB"/>
    <w:rsid w:val="000263B3"/>
    <w:rsid w:val="00026622"/>
    <w:rsid w:val="0002671E"/>
    <w:rsid w:val="000269A7"/>
    <w:rsid w:val="00033883"/>
    <w:rsid w:val="00037F27"/>
    <w:rsid w:val="000415A4"/>
    <w:rsid w:val="000500DD"/>
    <w:rsid w:val="0005065F"/>
    <w:rsid w:val="000549C6"/>
    <w:rsid w:val="00063355"/>
    <w:rsid w:val="000635CD"/>
    <w:rsid w:val="00065531"/>
    <w:rsid w:val="000678AA"/>
    <w:rsid w:val="000723E8"/>
    <w:rsid w:val="000731A2"/>
    <w:rsid w:val="000738CD"/>
    <w:rsid w:val="000743FA"/>
    <w:rsid w:val="00075B11"/>
    <w:rsid w:val="00076CC0"/>
    <w:rsid w:val="00084C63"/>
    <w:rsid w:val="000855AF"/>
    <w:rsid w:val="00091D16"/>
    <w:rsid w:val="000959AB"/>
    <w:rsid w:val="00095D2F"/>
    <w:rsid w:val="00096000"/>
    <w:rsid w:val="00097BB2"/>
    <w:rsid w:val="00097C9E"/>
    <w:rsid w:val="000A2835"/>
    <w:rsid w:val="000A52C6"/>
    <w:rsid w:val="000A757E"/>
    <w:rsid w:val="000B0D05"/>
    <w:rsid w:val="000B1D17"/>
    <w:rsid w:val="000B2B2D"/>
    <w:rsid w:val="000B6071"/>
    <w:rsid w:val="000C0E65"/>
    <w:rsid w:val="000C1BB8"/>
    <w:rsid w:val="000C4B3A"/>
    <w:rsid w:val="000C5403"/>
    <w:rsid w:val="000C7288"/>
    <w:rsid w:val="000D1C63"/>
    <w:rsid w:val="000D3E46"/>
    <w:rsid w:val="000E32FC"/>
    <w:rsid w:val="000E5C98"/>
    <w:rsid w:val="000F37F3"/>
    <w:rsid w:val="000F60CE"/>
    <w:rsid w:val="00103EEE"/>
    <w:rsid w:val="00106986"/>
    <w:rsid w:val="00107636"/>
    <w:rsid w:val="00110014"/>
    <w:rsid w:val="00111152"/>
    <w:rsid w:val="00111AB5"/>
    <w:rsid w:val="00115401"/>
    <w:rsid w:val="00121252"/>
    <w:rsid w:val="001219B2"/>
    <w:rsid w:val="001247E9"/>
    <w:rsid w:val="001255C6"/>
    <w:rsid w:val="00126508"/>
    <w:rsid w:val="001408D6"/>
    <w:rsid w:val="00140A6B"/>
    <w:rsid w:val="0014488F"/>
    <w:rsid w:val="0014543D"/>
    <w:rsid w:val="00150C67"/>
    <w:rsid w:val="00160359"/>
    <w:rsid w:val="00166C54"/>
    <w:rsid w:val="00171B82"/>
    <w:rsid w:val="00181073"/>
    <w:rsid w:val="00185FB3"/>
    <w:rsid w:val="00186603"/>
    <w:rsid w:val="001912D9"/>
    <w:rsid w:val="00192FFE"/>
    <w:rsid w:val="001948E6"/>
    <w:rsid w:val="00197A53"/>
    <w:rsid w:val="001A3358"/>
    <w:rsid w:val="001A34B1"/>
    <w:rsid w:val="001A3C73"/>
    <w:rsid w:val="001A6FD3"/>
    <w:rsid w:val="001A7319"/>
    <w:rsid w:val="001B1CBA"/>
    <w:rsid w:val="001B3F0A"/>
    <w:rsid w:val="001B766C"/>
    <w:rsid w:val="001C12A5"/>
    <w:rsid w:val="001C6430"/>
    <w:rsid w:val="001D1534"/>
    <w:rsid w:val="001D2671"/>
    <w:rsid w:val="001D3F7F"/>
    <w:rsid w:val="001D5AE6"/>
    <w:rsid w:val="001D75A5"/>
    <w:rsid w:val="001E3E15"/>
    <w:rsid w:val="001E56E0"/>
    <w:rsid w:val="001F3FD3"/>
    <w:rsid w:val="001F75F1"/>
    <w:rsid w:val="00200FE2"/>
    <w:rsid w:val="0020487F"/>
    <w:rsid w:val="00207345"/>
    <w:rsid w:val="00211523"/>
    <w:rsid w:val="00211AEC"/>
    <w:rsid w:val="002200EA"/>
    <w:rsid w:val="00221F25"/>
    <w:rsid w:val="00222D08"/>
    <w:rsid w:val="00224D10"/>
    <w:rsid w:val="00232CA8"/>
    <w:rsid w:val="00234BBE"/>
    <w:rsid w:val="002540A0"/>
    <w:rsid w:val="00257B23"/>
    <w:rsid w:val="00260529"/>
    <w:rsid w:val="00263AF4"/>
    <w:rsid w:val="0026733F"/>
    <w:rsid w:val="00267E75"/>
    <w:rsid w:val="002716A1"/>
    <w:rsid w:val="00271CB0"/>
    <w:rsid w:val="00273517"/>
    <w:rsid w:val="00275448"/>
    <w:rsid w:val="0028119B"/>
    <w:rsid w:val="00281A53"/>
    <w:rsid w:val="00283AE6"/>
    <w:rsid w:val="002841E6"/>
    <w:rsid w:val="002903AB"/>
    <w:rsid w:val="0029190D"/>
    <w:rsid w:val="002947CE"/>
    <w:rsid w:val="00294CA9"/>
    <w:rsid w:val="00297E80"/>
    <w:rsid w:val="002A0E30"/>
    <w:rsid w:val="002A7623"/>
    <w:rsid w:val="002B0B7B"/>
    <w:rsid w:val="002B12F4"/>
    <w:rsid w:val="002B1FA1"/>
    <w:rsid w:val="002B7AA1"/>
    <w:rsid w:val="002B7C02"/>
    <w:rsid w:val="002C1ABE"/>
    <w:rsid w:val="002C6CB8"/>
    <w:rsid w:val="002D2D77"/>
    <w:rsid w:val="002D334F"/>
    <w:rsid w:val="002D49AA"/>
    <w:rsid w:val="002D574A"/>
    <w:rsid w:val="002D7FF7"/>
    <w:rsid w:val="002E1C3A"/>
    <w:rsid w:val="002E5387"/>
    <w:rsid w:val="002E6682"/>
    <w:rsid w:val="00301D0F"/>
    <w:rsid w:val="00305BC9"/>
    <w:rsid w:val="00306197"/>
    <w:rsid w:val="00306660"/>
    <w:rsid w:val="0031110E"/>
    <w:rsid w:val="003203BD"/>
    <w:rsid w:val="003247DA"/>
    <w:rsid w:val="00330FF3"/>
    <w:rsid w:val="00341ADF"/>
    <w:rsid w:val="00341BD7"/>
    <w:rsid w:val="003438AD"/>
    <w:rsid w:val="00345A0C"/>
    <w:rsid w:val="00346DDC"/>
    <w:rsid w:val="00352F6A"/>
    <w:rsid w:val="003537C7"/>
    <w:rsid w:val="00354597"/>
    <w:rsid w:val="00364713"/>
    <w:rsid w:val="003651C5"/>
    <w:rsid w:val="00365895"/>
    <w:rsid w:val="00367CF0"/>
    <w:rsid w:val="00370E56"/>
    <w:rsid w:val="00373846"/>
    <w:rsid w:val="00377332"/>
    <w:rsid w:val="00380E2C"/>
    <w:rsid w:val="00381C06"/>
    <w:rsid w:val="00381E12"/>
    <w:rsid w:val="00392310"/>
    <w:rsid w:val="00394EA4"/>
    <w:rsid w:val="00395D59"/>
    <w:rsid w:val="0039712E"/>
    <w:rsid w:val="003A669A"/>
    <w:rsid w:val="003C0152"/>
    <w:rsid w:val="003C238C"/>
    <w:rsid w:val="003D095F"/>
    <w:rsid w:val="003D0DCC"/>
    <w:rsid w:val="003D2A6A"/>
    <w:rsid w:val="003D361A"/>
    <w:rsid w:val="003D4813"/>
    <w:rsid w:val="003D4A19"/>
    <w:rsid w:val="003D51C1"/>
    <w:rsid w:val="003D6BB3"/>
    <w:rsid w:val="003D7449"/>
    <w:rsid w:val="003D784F"/>
    <w:rsid w:val="003E51E0"/>
    <w:rsid w:val="003F3BB9"/>
    <w:rsid w:val="003F5CEA"/>
    <w:rsid w:val="003F6CBE"/>
    <w:rsid w:val="00400557"/>
    <w:rsid w:val="004013F0"/>
    <w:rsid w:val="0040248F"/>
    <w:rsid w:val="0040387E"/>
    <w:rsid w:val="004061C1"/>
    <w:rsid w:val="004126B8"/>
    <w:rsid w:val="00412A3E"/>
    <w:rsid w:val="00413FE5"/>
    <w:rsid w:val="00420FDA"/>
    <w:rsid w:val="004250A8"/>
    <w:rsid w:val="00430202"/>
    <w:rsid w:val="004354D8"/>
    <w:rsid w:val="00436383"/>
    <w:rsid w:val="004412A4"/>
    <w:rsid w:val="00441FC1"/>
    <w:rsid w:val="00443AFD"/>
    <w:rsid w:val="00446815"/>
    <w:rsid w:val="00454945"/>
    <w:rsid w:val="00463E98"/>
    <w:rsid w:val="00465C61"/>
    <w:rsid w:val="00467CCA"/>
    <w:rsid w:val="00473051"/>
    <w:rsid w:val="004763FA"/>
    <w:rsid w:val="00492C25"/>
    <w:rsid w:val="004936A1"/>
    <w:rsid w:val="004A3872"/>
    <w:rsid w:val="004B1B13"/>
    <w:rsid w:val="004B2AAA"/>
    <w:rsid w:val="004C15A5"/>
    <w:rsid w:val="004C4154"/>
    <w:rsid w:val="004D16FD"/>
    <w:rsid w:val="004E1B4D"/>
    <w:rsid w:val="004F3FF3"/>
    <w:rsid w:val="004F720B"/>
    <w:rsid w:val="00504401"/>
    <w:rsid w:val="00504843"/>
    <w:rsid w:val="0050509D"/>
    <w:rsid w:val="005067B8"/>
    <w:rsid w:val="0050736A"/>
    <w:rsid w:val="00507A8E"/>
    <w:rsid w:val="005127D5"/>
    <w:rsid w:val="005128BB"/>
    <w:rsid w:val="0051488C"/>
    <w:rsid w:val="0051533F"/>
    <w:rsid w:val="0051660D"/>
    <w:rsid w:val="00526B26"/>
    <w:rsid w:val="005277C3"/>
    <w:rsid w:val="00527CFA"/>
    <w:rsid w:val="0053156B"/>
    <w:rsid w:val="00535BB3"/>
    <w:rsid w:val="00535E47"/>
    <w:rsid w:val="00541375"/>
    <w:rsid w:val="0055141D"/>
    <w:rsid w:val="005531C2"/>
    <w:rsid w:val="00555949"/>
    <w:rsid w:val="00561000"/>
    <w:rsid w:val="005657C2"/>
    <w:rsid w:val="0057385C"/>
    <w:rsid w:val="00575B8D"/>
    <w:rsid w:val="0058349B"/>
    <w:rsid w:val="00587035"/>
    <w:rsid w:val="00595505"/>
    <w:rsid w:val="005A01A4"/>
    <w:rsid w:val="005A5B3F"/>
    <w:rsid w:val="005A7988"/>
    <w:rsid w:val="005B2A52"/>
    <w:rsid w:val="005B7C3A"/>
    <w:rsid w:val="005C2442"/>
    <w:rsid w:val="005C291F"/>
    <w:rsid w:val="005C3DBE"/>
    <w:rsid w:val="005C4217"/>
    <w:rsid w:val="005C4C1A"/>
    <w:rsid w:val="005C58B1"/>
    <w:rsid w:val="005E4252"/>
    <w:rsid w:val="005E6565"/>
    <w:rsid w:val="005F1615"/>
    <w:rsid w:val="005F21A4"/>
    <w:rsid w:val="005F2210"/>
    <w:rsid w:val="005F3266"/>
    <w:rsid w:val="005F4F10"/>
    <w:rsid w:val="005F5072"/>
    <w:rsid w:val="00601949"/>
    <w:rsid w:val="00601FFF"/>
    <w:rsid w:val="006021D1"/>
    <w:rsid w:val="006052BC"/>
    <w:rsid w:val="0060608C"/>
    <w:rsid w:val="006069E1"/>
    <w:rsid w:val="00607B3D"/>
    <w:rsid w:val="0061031D"/>
    <w:rsid w:val="006144C1"/>
    <w:rsid w:val="0061577B"/>
    <w:rsid w:val="00622CE0"/>
    <w:rsid w:val="0062325A"/>
    <w:rsid w:val="006246DB"/>
    <w:rsid w:val="006271B2"/>
    <w:rsid w:val="006307C1"/>
    <w:rsid w:val="00630980"/>
    <w:rsid w:val="0063234C"/>
    <w:rsid w:val="0063422D"/>
    <w:rsid w:val="00635B19"/>
    <w:rsid w:val="00635D14"/>
    <w:rsid w:val="00641B4C"/>
    <w:rsid w:val="00645493"/>
    <w:rsid w:val="006455F1"/>
    <w:rsid w:val="00651CE3"/>
    <w:rsid w:val="00652274"/>
    <w:rsid w:val="006541A1"/>
    <w:rsid w:val="006578AD"/>
    <w:rsid w:val="00660657"/>
    <w:rsid w:val="00663C0F"/>
    <w:rsid w:val="006673FD"/>
    <w:rsid w:val="006737E1"/>
    <w:rsid w:val="006759CE"/>
    <w:rsid w:val="00677CEC"/>
    <w:rsid w:val="006807DC"/>
    <w:rsid w:val="00680CEB"/>
    <w:rsid w:val="006841C1"/>
    <w:rsid w:val="00685928"/>
    <w:rsid w:val="0069639B"/>
    <w:rsid w:val="006A149F"/>
    <w:rsid w:val="006A426F"/>
    <w:rsid w:val="006A7E4C"/>
    <w:rsid w:val="006B4E8E"/>
    <w:rsid w:val="006B7456"/>
    <w:rsid w:val="006C22B0"/>
    <w:rsid w:val="006C3643"/>
    <w:rsid w:val="006C40C5"/>
    <w:rsid w:val="006C56C7"/>
    <w:rsid w:val="006C5A51"/>
    <w:rsid w:val="006D5EF0"/>
    <w:rsid w:val="006D6A0D"/>
    <w:rsid w:val="006E2DED"/>
    <w:rsid w:val="006E337F"/>
    <w:rsid w:val="006E3D9F"/>
    <w:rsid w:val="006E70B2"/>
    <w:rsid w:val="006F158A"/>
    <w:rsid w:val="00701670"/>
    <w:rsid w:val="00702976"/>
    <w:rsid w:val="00702CCD"/>
    <w:rsid w:val="007036E3"/>
    <w:rsid w:val="00703929"/>
    <w:rsid w:val="0070549E"/>
    <w:rsid w:val="00705B5B"/>
    <w:rsid w:val="00712208"/>
    <w:rsid w:val="00717616"/>
    <w:rsid w:val="00724AE6"/>
    <w:rsid w:val="0072602E"/>
    <w:rsid w:val="00727D0F"/>
    <w:rsid w:val="00734DCF"/>
    <w:rsid w:val="00740049"/>
    <w:rsid w:val="007402DF"/>
    <w:rsid w:val="00741694"/>
    <w:rsid w:val="00742401"/>
    <w:rsid w:val="007452BA"/>
    <w:rsid w:val="007508A1"/>
    <w:rsid w:val="00751324"/>
    <w:rsid w:val="00761FB5"/>
    <w:rsid w:val="00762E28"/>
    <w:rsid w:val="00763285"/>
    <w:rsid w:val="00766F01"/>
    <w:rsid w:val="00770B21"/>
    <w:rsid w:val="00775D1C"/>
    <w:rsid w:val="0077653E"/>
    <w:rsid w:val="00780A22"/>
    <w:rsid w:val="00784728"/>
    <w:rsid w:val="007855DE"/>
    <w:rsid w:val="00786312"/>
    <w:rsid w:val="00786A2D"/>
    <w:rsid w:val="00786C74"/>
    <w:rsid w:val="00787969"/>
    <w:rsid w:val="007912CF"/>
    <w:rsid w:val="00792FC8"/>
    <w:rsid w:val="007961EC"/>
    <w:rsid w:val="00796943"/>
    <w:rsid w:val="007A00E8"/>
    <w:rsid w:val="007A02D9"/>
    <w:rsid w:val="007A2661"/>
    <w:rsid w:val="007A2B46"/>
    <w:rsid w:val="007A35B3"/>
    <w:rsid w:val="007A51AF"/>
    <w:rsid w:val="007A601D"/>
    <w:rsid w:val="007B0475"/>
    <w:rsid w:val="007B3A9B"/>
    <w:rsid w:val="007B3F7D"/>
    <w:rsid w:val="007B6F37"/>
    <w:rsid w:val="007B74C0"/>
    <w:rsid w:val="007B76A3"/>
    <w:rsid w:val="007C2975"/>
    <w:rsid w:val="007C2BB7"/>
    <w:rsid w:val="007C2DB6"/>
    <w:rsid w:val="007C799B"/>
    <w:rsid w:val="007D0935"/>
    <w:rsid w:val="007D0C6A"/>
    <w:rsid w:val="007D1E32"/>
    <w:rsid w:val="007D30A3"/>
    <w:rsid w:val="007D5238"/>
    <w:rsid w:val="007E038D"/>
    <w:rsid w:val="007E19EC"/>
    <w:rsid w:val="007E5C99"/>
    <w:rsid w:val="007F0B93"/>
    <w:rsid w:val="007F348B"/>
    <w:rsid w:val="007F3760"/>
    <w:rsid w:val="007F64F4"/>
    <w:rsid w:val="008005CB"/>
    <w:rsid w:val="008012D7"/>
    <w:rsid w:val="00803938"/>
    <w:rsid w:val="00805586"/>
    <w:rsid w:val="0080604C"/>
    <w:rsid w:val="00806C3F"/>
    <w:rsid w:val="00807148"/>
    <w:rsid w:val="0081065F"/>
    <w:rsid w:val="008130A4"/>
    <w:rsid w:val="00817126"/>
    <w:rsid w:val="008175F6"/>
    <w:rsid w:val="00820130"/>
    <w:rsid w:val="00823BBA"/>
    <w:rsid w:val="00830B37"/>
    <w:rsid w:val="00833F93"/>
    <w:rsid w:val="00835006"/>
    <w:rsid w:val="008400A3"/>
    <w:rsid w:val="008417A8"/>
    <w:rsid w:val="008421A8"/>
    <w:rsid w:val="00842F2D"/>
    <w:rsid w:val="00847C55"/>
    <w:rsid w:val="00851B07"/>
    <w:rsid w:val="008574A5"/>
    <w:rsid w:val="008658DF"/>
    <w:rsid w:val="0086601B"/>
    <w:rsid w:val="00866A17"/>
    <w:rsid w:val="008727CE"/>
    <w:rsid w:val="008744B4"/>
    <w:rsid w:val="00875E79"/>
    <w:rsid w:val="0087718D"/>
    <w:rsid w:val="00877FC9"/>
    <w:rsid w:val="008811B9"/>
    <w:rsid w:val="00881CAA"/>
    <w:rsid w:val="008822CB"/>
    <w:rsid w:val="00882B40"/>
    <w:rsid w:val="00883FE2"/>
    <w:rsid w:val="008872F1"/>
    <w:rsid w:val="00887301"/>
    <w:rsid w:val="00890069"/>
    <w:rsid w:val="00893618"/>
    <w:rsid w:val="008A0098"/>
    <w:rsid w:val="008A4BB0"/>
    <w:rsid w:val="008A5BD4"/>
    <w:rsid w:val="008B2D89"/>
    <w:rsid w:val="008B3E75"/>
    <w:rsid w:val="008B6186"/>
    <w:rsid w:val="008C769A"/>
    <w:rsid w:val="008D1820"/>
    <w:rsid w:val="008D6CDD"/>
    <w:rsid w:val="008E02A6"/>
    <w:rsid w:val="008E294B"/>
    <w:rsid w:val="008E3B0D"/>
    <w:rsid w:val="008F0815"/>
    <w:rsid w:val="008F1639"/>
    <w:rsid w:val="008F1C92"/>
    <w:rsid w:val="008F25F3"/>
    <w:rsid w:val="008F47FC"/>
    <w:rsid w:val="008F4D57"/>
    <w:rsid w:val="008F4E5F"/>
    <w:rsid w:val="009013FF"/>
    <w:rsid w:val="00902134"/>
    <w:rsid w:val="00904531"/>
    <w:rsid w:val="00904B20"/>
    <w:rsid w:val="00906F51"/>
    <w:rsid w:val="00910E3D"/>
    <w:rsid w:val="0091248A"/>
    <w:rsid w:val="00913641"/>
    <w:rsid w:val="00931A1A"/>
    <w:rsid w:val="00931C3A"/>
    <w:rsid w:val="00932D63"/>
    <w:rsid w:val="009348B4"/>
    <w:rsid w:val="00936668"/>
    <w:rsid w:val="00937063"/>
    <w:rsid w:val="00940415"/>
    <w:rsid w:val="009446D0"/>
    <w:rsid w:val="009450BC"/>
    <w:rsid w:val="00945CC8"/>
    <w:rsid w:val="00946164"/>
    <w:rsid w:val="0095525C"/>
    <w:rsid w:val="009560CA"/>
    <w:rsid w:val="00960144"/>
    <w:rsid w:val="0096334C"/>
    <w:rsid w:val="00981C91"/>
    <w:rsid w:val="00987666"/>
    <w:rsid w:val="00991A6B"/>
    <w:rsid w:val="009948B3"/>
    <w:rsid w:val="00995696"/>
    <w:rsid w:val="009A303F"/>
    <w:rsid w:val="009A4CF8"/>
    <w:rsid w:val="009A54AF"/>
    <w:rsid w:val="009A58D5"/>
    <w:rsid w:val="009A7466"/>
    <w:rsid w:val="009B3EC0"/>
    <w:rsid w:val="009B454D"/>
    <w:rsid w:val="009B776E"/>
    <w:rsid w:val="009E0419"/>
    <w:rsid w:val="009E08B2"/>
    <w:rsid w:val="009E092C"/>
    <w:rsid w:val="009E5602"/>
    <w:rsid w:val="009E6A2F"/>
    <w:rsid w:val="009E7D80"/>
    <w:rsid w:val="009F4CDE"/>
    <w:rsid w:val="009F7EDE"/>
    <w:rsid w:val="00A00378"/>
    <w:rsid w:val="00A00FB2"/>
    <w:rsid w:val="00A0247E"/>
    <w:rsid w:val="00A03D4A"/>
    <w:rsid w:val="00A048A1"/>
    <w:rsid w:val="00A0587F"/>
    <w:rsid w:val="00A0588E"/>
    <w:rsid w:val="00A0718B"/>
    <w:rsid w:val="00A12F8C"/>
    <w:rsid w:val="00A254B3"/>
    <w:rsid w:val="00A258C6"/>
    <w:rsid w:val="00A2752B"/>
    <w:rsid w:val="00A32E83"/>
    <w:rsid w:val="00A47363"/>
    <w:rsid w:val="00A50495"/>
    <w:rsid w:val="00A5156B"/>
    <w:rsid w:val="00A52EAA"/>
    <w:rsid w:val="00A55154"/>
    <w:rsid w:val="00A571A3"/>
    <w:rsid w:val="00A57A6D"/>
    <w:rsid w:val="00A631DC"/>
    <w:rsid w:val="00A65ECE"/>
    <w:rsid w:val="00A718B5"/>
    <w:rsid w:val="00A7271B"/>
    <w:rsid w:val="00A73FED"/>
    <w:rsid w:val="00A746BE"/>
    <w:rsid w:val="00A75571"/>
    <w:rsid w:val="00A77164"/>
    <w:rsid w:val="00A85640"/>
    <w:rsid w:val="00A87C5C"/>
    <w:rsid w:val="00A9425D"/>
    <w:rsid w:val="00A956E6"/>
    <w:rsid w:val="00AA2BCB"/>
    <w:rsid w:val="00AA387E"/>
    <w:rsid w:val="00AA4F2E"/>
    <w:rsid w:val="00AA5BF6"/>
    <w:rsid w:val="00AA7F5A"/>
    <w:rsid w:val="00AB0729"/>
    <w:rsid w:val="00AB0C58"/>
    <w:rsid w:val="00AB2FFF"/>
    <w:rsid w:val="00AB3271"/>
    <w:rsid w:val="00AB3832"/>
    <w:rsid w:val="00AB3A52"/>
    <w:rsid w:val="00AB3DC1"/>
    <w:rsid w:val="00AB602B"/>
    <w:rsid w:val="00AB6AE4"/>
    <w:rsid w:val="00AB79FE"/>
    <w:rsid w:val="00AD187F"/>
    <w:rsid w:val="00AD6431"/>
    <w:rsid w:val="00AD7DAF"/>
    <w:rsid w:val="00AE6F7E"/>
    <w:rsid w:val="00AF1E1F"/>
    <w:rsid w:val="00AF57FF"/>
    <w:rsid w:val="00AF70AD"/>
    <w:rsid w:val="00B06CE6"/>
    <w:rsid w:val="00B06DCE"/>
    <w:rsid w:val="00B14392"/>
    <w:rsid w:val="00B16242"/>
    <w:rsid w:val="00B25045"/>
    <w:rsid w:val="00B25281"/>
    <w:rsid w:val="00B35E38"/>
    <w:rsid w:val="00B42798"/>
    <w:rsid w:val="00B43B2F"/>
    <w:rsid w:val="00B600AF"/>
    <w:rsid w:val="00B611C4"/>
    <w:rsid w:val="00B65B5B"/>
    <w:rsid w:val="00B719F2"/>
    <w:rsid w:val="00B72764"/>
    <w:rsid w:val="00B731F8"/>
    <w:rsid w:val="00B8330F"/>
    <w:rsid w:val="00B87E31"/>
    <w:rsid w:val="00B9095E"/>
    <w:rsid w:val="00BA075D"/>
    <w:rsid w:val="00BA255D"/>
    <w:rsid w:val="00BA3B3F"/>
    <w:rsid w:val="00BA4C83"/>
    <w:rsid w:val="00BB468A"/>
    <w:rsid w:val="00BB6EFB"/>
    <w:rsid w:val="00BB7F7F"/>
    <w:rsid w:val="00BC01AA"/>
    <w:rsid w:val="00BC2E1F"/>
    <w:rsid w:val="00BD079D"/>
    <w:rsid w:val="00BD509F"/>
    <w:rsid w:val="00BD6405"/>
    <w:rsid w:val="00BD6F3D"/>
    <w:rsid w:val="00BE0D04"/>
    <w:rsid w:val="00BE1152"/>
    <w:rsid w:val="00BE1202"/>
    <w:rsid w:val="00BE2A55"/>
    <w:rsid w:val="00BE3F52"/>
    <w:rsid w:val="00BE6C92"/>
    <w:rsid w:val="00BF2AD3"/>
    <w:rsid w:val="00BF700A"/>
    <w:rsid w:val="00BF70C3"/>
    <w:rsid w:val="00BF7158"/>
    <w:rsid w:val="00C000BE"/>
    <w:rsid w:val="00C056ED"/>
    <w:rsid w:val="00C13E42"/>
    <w:rsid w:val="00C17EC2"/>
    <w:rsid w:val="00C25620"/>
    <w:rsid w:val="00C2583B"/>
    <w:rsid w:val="00C275F1"/>
    <w:rsid w:val="00C3017E"/>
    <w:rsid w:val="00C35AC4"/>
    <w:rsid w:val="00C36F68"/>
    <w:rsid w:val="00C37F75"/>
    <w:rsid w:val="00C40ECC"/>
    <w:rsid w:val="00C422CD"/>
    <w:rsid w:val="00C452AF"/>
    <w:rsid w:val="00C55D25"/>
    <w:rsid w:val="00C640ED"/>
    <w:rsid w:val="00C66133"/>
    <w:rsid w:val="00C66F06"/>
    <w:rsid w:val="00C67E69"/>
    <w:rsid w:val="00C7040B"/>
    <w:rsid w:val="00C71C07"/>
    <w:rsid w:val="00C73C46"/>
    <w:rsid w:val="00C75529"/>
    <w:rsid w:val="00C7579E"/>
    <w:rsid w:val="00C76019"/>
    <w:rsid w:val="00C817A5"/>
    <w:rsid w:val="00C8183A"/>
    <w:rsid w:val="00C8210D"/>
    <w:rsid w:val="00C823E8"/>
    <w:rsid w:val="00C82961"/>
    <w:rsid w:val="00C91E2F"/>
    <w:rsid w:val="00C95512"/>
    <w:rsid w:val="00CA0750"/>
    <w:rsid w:val="00CA0B71"/>
    <w:rsid w:val="00CA5ED5"/>
    <w:rsid w:val="00CB10DA"/>
    <w:rsid w:val="00CB486F"/>
    <w:rsid w:val="00CB4E74"/>
    <w:rsid w:val="00CC0375"/>
    <w:rsid w:val="00CC21FE"/>
    <w:rsid w:val="00CD03EB"/>
    <w:rsid w:val="00CD2DCF"/>
    <w:rsid w:val="00CD3656"/>
    <w:rsid w:val="00CD3994"/>
    <w:rsid w:val="00CD3A29"/>
    <w:rsid w:val="00CD6F45"/>
    <w:rsid w:val="00CE1CD9"/>
    <w:rsid w:val="00CE1F7E"/>
    <w:rsid w:val="00CE2ECB"/>
    <w:rsid w:val="00CE4D8F"/>
    <w:rsid w:val="00CE7E62"/>
    <w:rsid w:val="00CF0102"/>
    <w:rsid w:val="00CF20A2"/>
    <w:rsid w:val="00D07A49"/>
    <w:rsid w:val="00D108E8"/>
    <w:rsid w:val="00D12E23"/>
    <w:rsid w:val="00D15533"/>
    <w:rsid w:val="00D16078"/>
    <w:rsid w:val="00D2341F"/>
    <w:rsid w:val="00D24BF7"/>
    <w:rsid w:val="00D2559E"/>
    <w:rsid w:val="00D34AF6"/>
    <w:rsid w:val="00D3593A"/>
    <w:rsid w:val="00D36366"/>
    <w:rsid w:val="00D37870"/>
    <w:rsid w:val="00D415DC"/>
    <w:rsid w:val="00D42590"/>
    <w:rsid w:val="00D44438"/>
    <w:rsid w:val="00D44AFD"/>
    <w:rsid w:val="00D45C06"/>
    <w:rsid w:val="00D53951"/>
    <w:rsid w:val="00D569BE"/>
    <w:rsid w:val="00D60670"/>
    <w:rsid w:val="00D60DBD"/>
    <w:rsid w:val="00D646A2"/>
    <w:rsid w:val="00D646B7"/>
    <w:rsid w:val="00D66BDE"/>
    <w:rsid w:val="00D67E82"/>
    <w:rsid w:val="00D71929"/>
    <w:rsid w:val="00D723AF"/>
    <w:rsid w:val="00D72E6B"/>
    <w:rsid w:val="00D74109"/>
    <w:rsid w:val="00D74E8F"/>
    <w:rsid w:val="00D75765"/>
    <w:rsid w:val="00D76A44"/>
    <w:rsid w:val="00D82947"/>
    <w:rsid w:val="00D939F0"/>
    <w:rsid w:val="00D940A1"/>
    <w:rsid w:val="00D956B3"/>
    <w:rsid w:val="00DA1193"/>
    <w:rsid w:val="00DA2F2F"/>
    <w:rsid w:val="00DA5427"/>
    <w:rsid w:val="00DA64B1"/>
    <w:rsid w:val="00DB546F"/>
    <w:rsid w:val="00DB79C0"/>
    <w:rsid w:val="00DC23BB"/>
    <w:rsid w:val="00DC58CF"/>
    <w:rsid w:val="00DD1B31"/>
    <w:rsid w:val="00DD6BCA"/>
    <w:rsid w:val="00DE7BC6"/>
    <w:rsid w:val="00DF5678"/>
    <w:rsid w:val="00DF5E01"/>
    <w:rsid w:val="00DF5E84"/>
    <w:rsid w:val="00DF7969"/>
    <w:rsid w:val="00E010ED"/>
    <w:rsid w:val="00E013A3"/>
    <w:rsid w:val="00E07A8E"/>
    <w:rsid w:val="00E10254"/>
    <w:rsid w:val="00E13E3A"/>
    <w:rsid w:val="00E24499"/>
    <w:rsid w:val="00E305E6"/>
    <w:rsid w:val="00E34497"/>
    <w:rsid w:val="00E345BB"/>
    <w:rsid w:val="00E37A88"/>
    <w:rsid w:val="00E47DBB"/>
    <w:rsid w:val="00E5213E"/>
    <w:rsid w:val="00E6534E"/>
    <w:rsid w:val="00E654FD"/>
    <w:rsid w:val="00E70924"/>
    <w:rsid w:val="00E8086E"/>
    <w:rsid w:val="00E81536"/>
    <w:rsid w:val="00E852BB"/>
    <w:rsid w:val="00EA2CE2"/>
    <w:rsid w:val="00EA6824"/>
    <w:rsid w:val="00EB040F"/>
    <w:rsid w:val="00EB2591"/>
    <w:rsid w:val="00EB713E"/>
    <w:rsid w:val="00EB7E27"/>
    <w:rsid w:val="00EC0180"/>
    <w:rsid w:val="00EC2A90"/>
    <w:rsid w:val="00ED1367"/>
    <w:rsid w:val="00ED46AE"/>
    <w:rsid w:val="00EE06E8"/>
    <w:rsid w:val="00EE175E"/>
    <w:rsid w:val="00EE3359"/>
    <w:rsid w:val="00EE6429"/>
    <w:rsid w:val="00EF2352"/>
    <w:rsid w:val="00EF7BD8"/>
    <w:rsid w:val="00F00FB1"/>
    <w:rsid w:val="00F0208E"/>
    <w:rsid w:val="00F05D4A"/>
    <w:rsid w:val="00F15CDA"/>
    <w:rsid w:val="00F215A7"/>
    <w:rsid w:val="00F21693"/>
    <w:rsid w:val="00F2239A"/>
    <w:rsid w:val="00F24CDF"/>
    <w:rsid w:val="00F24D85"/>
    <w:rsid w:val="00F30316"/>
    <w:rsid w:val="00F33E3E"/>
    <w:rsid w:val="00F3418A"/>
    <w:rsid w:val="00F362DF"/>
    <w:rsid w:val="00F373FE"/>
    <w:rsid w:val="00F45D4C"/>
    <w:rsid w:val="00F45D6E"/>
    <w:rsid w:val="00F50275"/>
    <w:rsid w:val="00F51BCE"/>
    <w:rsid w:val="00F5321C"/>
    <w:rsid w:val="00F55BC7"/>
    <w:rsid w:val="00F62295"/>
    <w:rsid w:val="00F67591"/>
    <w:rsid w:val="00F67D43"/>
    <w:rsid w:val="00F70D4B"/>
    <w:rsid w:val="00F71516"/>
    <w:rsid w:val="00F71F4A"/>
    <w:rsid w:val="00F76038"/>
    <w:rsid w:val="00F81112"/>
    <w:rsid w:val="00F823A6"/>
    <w:rsid w:val="00F92343"/>
    <w:rsid w:val="00F97B50"/>
    <w:rsid w:val="00FA086B"/>
    <w:rsid w:val="00FA26D1"/>
    <w:rsid w:val="00FA341F"/>
    <w:rsid w:val="00FA38B9"/>
    <w:rsid w:val="00FB38C1"/>
    <w:rsid w:val="00FC6788"/>
    <w:rsid w:val="00FD0C19"/>
    <w:rsid w:val="00FE423E"/>
    <w:rsid w:val="00FE765F"/>
    <w:rsid w:val="00FE792F"/>
    <w:rsid w:val="00FF6998"/>
    <w:rsid w:val="00FF74D7"/>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56B"/>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156B"/>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515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515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A5156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A5156B"/>
    <w:rPr>
      <w:rFonts w:ascii="Tahoma" w:hAnsi="Tahoma" w:cs="Tahoma"/>
      <w:sz w:val="16"/>
      <w:szCs w:val="16"/>
    </w:rPr>
  </w:style>
  <w:style w:type="character" w:customStyle="1" w:styleId="a5">
    <w:name w:val="Текст выноски Знак"/>
    <w:basedOn w:val="a0"/>
    <w:link w:val="a4"/>
    <w:uiPriority w:val="99"/>
    <w:semiHidden/>
    <w:rsid w:val="00A5156B"/>
    <w:rPr>
      <w:rFonts w:ascii="Tahoma" w:eastAsia="Times New Roman" w:hAnsi="Tahoma" w:cs="Tahoma"/>
      <w:sz w:val="16"/>
      <w:szCs w:val="16"/>
      <w:lang w:eastAsia="ru-RU"/>
    </w:rPr>
  </w:style>
  <w:style w:type="character" w:styleId="a6">
    <w:name w:val="line number"/>
    <w:basedOn w:val="a0"/>
    <w:uiPriority w:val="99"/>
    <w:semiHidden/>
    <w:unhideWhenUsed/>
    <w:rsid w:val="006B4E8E"/>
  </w:style>
  <w:style w:type="paragraph" w:styleId="a7">
    <w:name w:val="header"/>
    <w:basedOn w:val="a"/>
    <w:link w:val="a8"/>
    <w:uiPriority w:val="99"/>
    <w:unhideWhenUsed/>
    <w:rsid w:val="00D415DC"/>
    <w:pPr>
      <w:tabs>
        <w:tab w:val="center" w:pos="4677"/>
        <w:tab w:val="right" w:pos="9355"/>
      </w:tabs>
    </w:pPr>
  </w:style>
  <w:style w:type="character" w:customStyle="1" w:styleId="a8">
    <w:name w:val="Верхний колонтитул Знак"/>
    <w:basedOn w:val="a0"/>
    <w:link w:val="a7"/>
    <w:uiPriority w:val="99"/>
    <w:rsid w:val="00D415DC"/>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D415DC"/>
    <w:pPr>
      <w:tabs>
        <w:tab w:val="center" w:pos="4677"/>
        <w:tab w:val="right" w:pos="9355"/>
      </w:tabs>
    </w:pPr>
  </w:style>
  <w:style w:type="character" w:customStyle="1" w:styleId="aa">
    <w:name w:val="Нижний колонтитул Знак"/>
    <w:basedOn w:val="a0"/>
    <w:link w:val="a9"/>
    <w:uiPriority w:val="99"/>
    <w:rsid w:val="00D415DC"/>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56B"/>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156B"/>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515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515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A5156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A5156B"/>
    <w:rPr>
      <w:rFonts w:ascii="Tahoma" w:hAnsi="Tahoma" w:cs="Tahoma"/>
      <w:sz w:val="16"/>
      <w:szCs w:val="16"/>
    </w:rPr>
  </w:style>
  <w:style w:type="character" w:customStyle="1" w:styleId="a5">
    <w:name w:val="Текст выноски Знак"/>
    <w:basedOn w:val="a0"/>
    <w:link w:val="a4"/>
    <w:uiPriority w:val="99"/>
    <w:semiHidden/>
    <w:rsid w:val="00A5156B"/>
    <w:rPr>
      <w:rFonts w:ascii="Tahoma" w:eastAsia="Times New Roman" w:hAnsi="Tahoma" w:cs="Tahoma"/>
      <w:sz w:val="16"/>
      <w:szCs w:val="16"/>
      <w:lang w:eastAsia="ru-RU"/>
    </w:rPr>
  </w:style>
  <w:style w:type="character" w:styleId="a6">
    <w:name w:val="line number"/>
    <w:basedOn w:val="a0"/>
    <w:uiPriority w:val="99"/>
    <w:semiHidden/>
    <w:unhideWhenUsed/>
    <w:rsid w:val="006B4E8E"/>
  </w:style>
  <w:style w:type="paragraph" w:styleId="a7">
    <w:name w:val="header"/>
    <w:basedOn w:val="a"/>
    <w:link w:val="a8"/>
    <w:uiPriority w:val="99"/>
    <w:unhideWhenUsed/>
    <w:rsid w:val="00D415DC"/>
    <w:pPr>
      <w:tabs>
        <w:tab w:val="center" w:pos="4677"/>
        <w:tab w:val="right" w:pos="9355"/>
      </w:tabs>
    </w:pPr>
  </w:style>
  <w:style w:type="character" w:customStyle="1" w:styleId="a8">
    <w:name w:val="Верхний колонтитул Знак"/>
    <w:basedOn w:val="a0"/>
    <w:link w:val="a7"/>
    <w:uiPriority w:val="99"/>
    <w:rsid w:val="00D415DC"/>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D415DC"/>
    <w:pPr>
      <w:tabs>
        <w:tab w:val="center" w:pos="4677"/>
        <w:tab w:val="right" w:pos="9355"/>
      </w:tabs>
    </w:pPr>
  </w:style>
  <w:style w:type="character" w:customStyle="1" w:styleId="aa">
    <w:name w:val="Нижний колонтитул Знак"/>
    <w:basedOn w:val="a0"/>
    <w:link w:val="a9"/>
    <w:uiPriority w:val="99"/>
    <w:rsid w:val="00D415DC"/>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4B3FE470DF1F7A045C52FA742FC1472EBE25B88968F054F6123BDC026v4t1H"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BFDFD74FE94AC190F4BF6529EEAC20009351EB33631EC24E2673678384D2A80Cp675O" TargetMode="External"/><Relationship Id="rId5" Type="http://schemas.openxmlformats.org/officeDocument/2006/relationships/footnotes" Target="footnotes.xml"/><Relationship Id="rId10" Type="http://schemas.openxmlformats.org/officeDocument/2006/relationships/hyperlink" Target="consultantplus://offline/ref=BFDFD74FE94AC190F4BF6529EEAC20009351EB33631EC24E2673678384D2A80Cp675O"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3010</Words>
  <Characters>17163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Марина Валентиновна</dc:creator>
  <cp:lastModifiedBy>Молчанова Ольга Петровна</cp:lastModifiedBy>
  <cp:revision>2</cp:revision>
  <dcterms:created xsi:type="dcterms:W3CDTF">2021-11-01T07:00:00Z</dcterms:created>
  <dcterms:modified xsi:type="dcterms:W3CDTF">2021-11-01T07:00:00Z</dcterms:modified>
</cp:coreProperties>
</file>